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C6BA8" w14:textId="50AC626A" w:rsidR="00DE08C4" w:rsidRDefault="003A626C"/>
    <w:p w14:paraId="2584591A" w14:textId="1991DAB6" w:rsidR="004B471C" w:rsidRDefault="004B471C" w:rsidP="004B471C">
      <w:pPr>
        <w:jc w:val="center"/>
        <w:rPr>
          <w:b/>
          <w:bCs/>
        </w:rPr>
      </w:pPr>
      <w:r w:rsidRPr="004B471C">
        <w:rPr>
          <w:b/>
          <w:bCs/>
        </w:rPr>
        <w:t>Call for abstracts</w:t>
      </w:r>
      <w:r w:rsidR="00E7250C">
        <w:rPr>
          <w:b/>
          <w:bCs/>
        </w:rPr>
        <w:t>/papers</w:t>
      </w:r>
    </w:p>
    <w:p w14:paraId="7679F3DD" w14:textId="1A76026B" w:rsidR="004B471C" w:rsidRPr="004B471C" w:rsidRDefault="00E7250C" w:rsidP="004B471C">
      <w:pPr>
        <w:jc w:val="center"/>
        <w:rPr>
          <w:b/>
          <w:bCs/>
          <w:i/>
          <w:iCs/>
        </w:rPr>
      </w:pPr>
      <w:r>
        <w:rPr>
          <w:b/>
          <w:bCs/>
          <w:i/>
          <w:iCs/>
        </w:rPr>
        <w:t>A 40</w:t>
      </w:r>
      <w:r w:rsidRPr="00E7250C">
        <w:rPr>
          <w:b/>
          <w:bCs/>
          <w:i/>
          <w:iCs/>
          <w:vertAlign w:val="superscript"/>
        </w:rPr>
        <w:t>th</w:t>
      </w:r>
      <w:r>
        <w:rPr>
          <w:b/>
          <w:bCs/>
          <w:i/>
          <w:iCs/>
        </w:rPr>
        <w:t xml:space="preserve"> anniversary celebration of the Cork Report: reflections and insights on m</w:t>
      </w:r>
      <w:r w:rsidR="004B471C" w:rsidRPr="004B471C">
        <w:rPr>
          <w:b/>
          <w:bCs/>
          <w:i/>
          <w:iCs/>
        </w:rPr>
        <w:t xml:space="preserve">odern business and insolvency </w:t>
      </w:r>
    </w:p>
    <w:p w14:paraId="005CF7A3" w14:textId="57A61428" w:rsidR="004B471C" w:rsidRDefault="004B471C" w:rsidP="004B471C">
      <w:pPr>
        <w:jc w:val="center"/>
        <w:rPr>
          <w:b/>
          <w:bCs/>
        </w:rPr>
      </w:pPr>
    </w:p>
    <w:p w14:paraId="1E37B320" w14:textId="72B8540B" w:rsidR="00E7250C" w:rsidRPr="004B1173" w:rsidRDefault="00E7250C" w:rsidP="004B471C">
      <w:pPr>
        <w:jc w:val="both"/>
        <w:rPr>
          <w:rFonts w:ascii="Calibri" w:eastAsia="PMingLiU" w:hAnsi="Calibri"/>
          <w:b/>
          <w:bCs/>
          <w:lang w:eastAsia="zh-TW"/>
        </w:rPr>
      </w:pPr>
      <w:r w:rsidRPr="004B1173">
        <w:rPr>
          <w:rFonts w:ascii="Calibri" w:eastAsia="PMingLiU" w:hAnsi="Calibri"/>
          <w:b/>
          <w:bCs/>
          <w:lang w:eastAsia="zh-TW"/>
        </w:rPr>
        <w:t>Introduction, scope and aims</w:t>
      </w:r>
    </w:p>
    <w:p w14:paraId="37800E5E" w14:textId="039F9FCE" w:rsidR="00E7250C" w:rsidRDefault="004B471C" w:rsidP="004B471C">
      <w:pPr>
        <w:jc w:val="both"/>
        <w:rPr>
          <w:rFonts w:ascii="Calibri" w:eastAsia="PMingLiU" w:hAnsi="Calibri"/>
          <w:lang w:eastAsia="zh-TW"/>
        </w:rPr>
      </w:pPr>
      <w:r w:rsidRPr="00D025BC">
        <w:rPr>
          <w:rFonts w:ascii="Calibri" w:eastAsia="PMingLiU" w:hAnsi="Calibri"/>
          <w:lang w:eastAsia="zh-TW"/>
        </w:rPr>
        <w:t>2022 marks the 40</w:t>
      </w:r>
      <w:r w:rsidRPr="00D025BC">
        <w:rPr>
          <w:rFonts w:ascii="Calibri" w:eastAsia="PMingLiU" w:hAnsi="Calibri"/>
          <w:vertAlign w:val="superscript"/>
          <w:lang w:eastAsia="zh-TW"/>
        </w:rPr>
        <w:t>th</w:t>
      </w:r>
      <w:r w:rsidRPr="00D025BC">
        <w:rPr>
          <w:rFonts w:ascii="Calibri" w:eastAsia="PMingLiU" w:hAnsi="Calibri"/>
          <w:lang w:eastAsia="zh-TW"/>
        </w:rPr>
        <w:t xml:space="preserve"> anniversary of the </w:t>
      </w:r>
      <w:r w:rsidRPr="00D025BC">
        <w:rPr>
          <w:rFonts w:ascii="Calibri" w:eastAsia="PMingLiU" w:hAnsi="Calibri"/>
          <w:i/>
          <w:iCs/>
          <w:lang w:eastAsia="zh-TW"/>
        </w:rPr>
        <w:t>Report</w:t>
      </w:r>
      <w:r w:rsidRPr="00D025BC">
        <w:rPr>
          <w:rFonts w:ascii="Calibri" w:eastAsia="PMingLiU" w:hAnsi="Calibri"/>
          <w:lang w:eastAsia="zh-TW"/>
        </w:rPr>
        <w:t xml:space="preserve"> </w:t>
      </w:r>
      <w:r w:rsidRPr="00D025BC">
        <w:rPr>
          <w:rFonts w:ascii="Calibri" w:eastAsia="PMingLiU" w:hAnsi="Calibri"/>
          <w:i/>
          <w:iCs/>
          <w:lang w:eastAsia="zh-TW"/>
        </w:rPr>
        <w:t>of the Insolvency Law Review Committee</w:t>
      </w:r>
      <w:r w:rsidR="00E7250C">
        <w:rPr>
          <w:rFonts w:ascii="Calibri" w:eastAsia="PMingLiU" w:hAnsi="Calibri"/>
          <w:lang w:eastAsia="zh-TW"/>
        </w:rPr>
        <w:t xml:space="preserve">, one of the most comprehensive reviews of UK insolvency law ever conducted. It led to far-reaching reforms that remain part of the legal infrastructure. </w:t>
      </w:r>
      <w:r w:rsidRPr="00D025BC">
        <w:rPr>
          <w:rFonts w:ascii="Calibri" w:eastAsia="PMingLiU" w:hAnsi="Calibri"/>
          <w:lang w:eastAsia="zh-TW"/>
        </w:rPr>
        <w:t>The Report and the Committee are known</w:t>
      </w:r>
      <w:r w:rsidR="00071E96" w:rsidRPr="00071E96">
        <w:rPr>
          <w:rFonts w:ascii="Calibri" w:eastAsia="PMingLiU" w:hAnsi="Calibri"/>
          <w:lang w:eastAsia="zh-TW"/>
        </w:rPr>
        <w:t xml:space="preserve"> </w:t>
      </w:r>
      <w:r w:rsidR="00071E96" w:rsidRPr="00D025BC">
        <w:rPr>
          <w:rFonts w:ascii="Calibri" w:eastAsia="PMingLiU" w:hAnsi="Calibri"/>
          <w:lang w:eastAsia="zh-TW"/>
        </w:rPr>
        <w:t>colloquially</w:t>
      </w:r>
      <w:r w:rsidRPr="00D025BC">
        <w:rPr>
          <w:rFonts w:ascii="Calibri" w:eastAsia="PMingLiU" w:hAnsi="Calibri"/>
          <w:lang w:eastAsia="zh-TW"/>
        </w:rPr>
        <w:t xml:space="preserve"> as the Cork Report/Committee, after Sir Kenneth Cork, the chairman of the committee and an influential figure in business, </w:t>
      </w:r>
      <w:proofErr w:type="gramStart"/>
      <w:r w:rsidRPr="00D025BC">
        <w:rPr>
          <w:rFonts w:ascii="Calibri" w:eastAsia="PMingLiU" w:hAnsi="Calibri"/>
          <w:lang w:eastAsia="zh-TW"/>
        </w:rPr>
        <w:t>insolvency</w:t>
      </w:r>
      <w:proofErr w:type="gramEnd"/>
      <w:r w:rsidRPr="00D025BC">
        <w:rPr>
          <w:rFonts w:ascii="Calibri" w:eastAsia="PMingLiU" w:hAnsi="Calibri"/>
          <w:lang w:eastAsia="zh-TW"/>
        </w:rPr>
        <w:t xml:space="preserve"> and civic circles. </w:t>
      </w:r>
      <w:r w:rsidR="00E7250C">
        <w:rPr>
          <w:rFonts w:ascii="Calibri" w:eastAsia="PMingLiU" w:hAnsi="Calibri"/>
          <w:lang w:eastAsia="zh-TW"/>
        </w:rPr>
        <w:t xml:space="preserve">This special issue of the journal </w:t>
      </w:r>
      <w:r w:rsidR="00E7250C" w:rsidRPr="00F63F30">
        <w:rPr>
          <w:rFonts w:ascii="Calibri" w:eastAsia="PMingLiU" w:hAnsi="Calibri"/>
          <w:i/>
          <w:iCs/>
          <w:lang w:eastAsia="zh-TW"/>
        </w:rPr>
        <w:t>Contemporary Issues in Law</w:t>
      </w:r>
      <w:r w:rsidR="00E7250C">
        <w:rPr>
          <w:rFonts w:ascii="Calibri" w:eastAsia="PMingLiU" w:hAnsi="Calibri"/>
          <w:lang w:eastAsia="zh-TW"/>
        </w:rPr>
        <w:t xml:space="preserve"> provides an opportunity to </w:t>
      </w:r>
      <w:r w:rsidR="00F63F30">
        <w:rPr>
          <w:rFonts w:ascii="Calibri" w:eastAsia="PMingLiU" w:hAnsi="Calibri"/>
          <w:lang w:eastAsia="zh-TW"/>
        </w:rPr>
        <w:t>evaluate</w:t>
      </w:r>
      <w:r w:rsidR="00E7250C">
        <w:rPr>
          <w:rFonts w:ascii="Calibri" w:eastAsia="PMingLiU" w:hAnsi="Calibri"/>
          <w:lang w:eastAsia="zh-TW"/>
        </w:rPr>
        <w:t xml:space="preserve"> </w:t>
      </w:r>
      <w:r w:rsidR="00F63F30">
        <w:rPr>
          <w:rFonts w:ascii="Calibri" w:eastAsia="PMingLiU" w:hAnsi="Calibri"/>
          <w:lang w:eastAsia="zh-TW"/>
        </w:rPr>
        <w:t xml:space="preserve">issues in </w:t>
      </w:r>
      <w:r w:rsidR="00E7250C">
        <w:rPr>
          <w:rFonts w:ascii="Calibri" w:eastAsia="PMingLiU" w:hAnsi="Calibri"/>
          <w:lang w:eastAsia="zh-TW"/>
        </w:rPr>
        <w:t>moder</w:t>
      </w:r>
      <w:r w:rsidR="00F63F30">
        <w:rPr>
          <w:rFonts w:ascii="Calibri" w:eastAsia="PMingLiU" w:hAnsi="Calibri"/>
          <w:lang w:eastAsia="zh-TW"/>
        </w:rPr>
        <w:t xml:space="preserve">n business and insolvency, forty years on from the publication of the Cork Report. Taking account of Sir Kenneth Cork’s role as a leading figure in public life and business and insolvency circles of his time, the themes to be represented in this special issue are drawn broadly rather than focused solely on insolvency. They are derived from </w:t>
      </w:r>
      <w:r w:rsidR="00A446EB">
        <w:rPr>
          <w:rFonts w:ascii="Calibri" w:eastAsia="PMingLiU" w:hAnsi="Calibri"/>
          <w:lang w:eastAsia="zh-TW"/>
        </w:rPr>
        <w:t xml:space="preserve">his autobiography </w:t>
      </w:r>
      <w:r w:rsidR="00A446EB">
        <w:rPr>
          <w:rFonts w:ascii="Calibri" w:eastAsia="PMingLiU" w:hAnsi="Calibri"/>
          <w:i/>
          <w:iCs/>
          <w:lang w:eastAsia="zh-TW"/>
        </w:rPr>
        <w:t xml:space="preserve">Cork on Cork </w:t>
      </w:r>
      <w:r w:rsidR="00A446EB">
        <w:rPr>
          <w:rFonts w:ascii="Calibri" w:eastAsia="PMingLiU" w:hAnsi="Calibri"/>
          <w:lang w:eastAsia="zh-TW"/>
        </w:rPr>
        <w:t>(published in 1988), and may be condensed into the following breakdown:</w:t>
      </w:r>
    </w:p>
    <w:p w14:paraId="410DE9BB" w14:textId="729888A2" w:rsidR="00696DE1" w:rsidRDefault="00696DE1" w:rsidP="00A446EB">
      <w:pPr>
        <w:numPr>
          <w:ilvl w:val="0"/>
          <w:numId w:val="5"/>
        </w:numPr>
        <w:spacing w:after="0" w:line="240" w:lineRule="auto"/>
        <w:rPr>
          <w:rFonts w:ascii="Calibri" w:eastAsia="Times New Roman" w:hAnsi="Calibri" w:cs="Calibri"/>
          <w:lang w:eastAsia="en-GB"/>
        </w:rPr>
      </w:pPr>
      <w:r>
        <w:rPr>
          <w:rFonts w:ascii="Calibri" w:eastAsia="Times New Roman" w:hAnsi="Calibri" w:cs="Calibri"/>
          <w:lang w:eastAsia="en-GB"/>
        </w:rPr>
        <w:t>Personal insolvency</w:t>
      </w:r>
    </w:p>
    <w:p w14:paraId="1366FBED" w14:textId="1DC24641" w:rsidR="00A446EB" w:rsidRPr="00A446EB" w:rsidRDefault="00A446EB" w:rsidP="00A446EB">
      <w:pPr>
        <w:numPr>
          <w:ilvl w:val="0"/>
          <w:numId w:val="5"/>
        </w:numPr>
        <w:spacing w:after="0" w:line="240" w:lineRule="auto"/>
        <w:rPr>
          <w:rFonts w:ascii="Calibri" w:eastAsia="Times New Roman" w:hAnsi="Calibri" w:cs="Calibri"/>
          <w:lang w:eastAsia="en-GB"/>
        </w:rPr>
      </w:pPr>
      <w:r w:rsidRPr="00A446EB">
        <w:rPr>
          <w:rFonts w:ascii="Calibri" w:eastAsia="Times New Roman" w:hAnsi="Calibri" w:cs="Calibri"/>
          <w:lang w:eastAsia="en-GB"/>
        </w:rPr>
        <w:t>Corporate governance</w:t>
      </w:r>
    </w:p>
    <w:p w14:paraId="70DB79AD" w14:textId="77777777" w:rsidR="00A446EB" w:rsidRPr="00A446EB" w:rsidRDefault="00A446EB" w:rsidP="00A446EB">
      <w:pPr>
        <w:numPr>
          <w:ilvl w:val="0"/>
          <w:numId w:val="5"/>
        </w:numPr>
        <w:spacing w:after="0" w:line="240" w:lineRule="auto"/>
        <w:rPr>
          <w:rFonts w:ascii="Calibri" w:eastAsia="Times New Roman" w:hAnsi="Calibri" w:cs="Calibri"/>
          <w:lang w:eastAsia="en-GB"/>
        </w:rPr>
      </w:pPr>
      <w:r w:rsidRPr="00A446EB">
        <w:rPr>
          <w:rFonts w:ascii="Calibri" w:eastAsia="Times New Roman" w:hAnsi="Calibri" w:cs="Calibri"/>
          <w:lang w:eastAsia="en-GB"/>
        </w:rPr>
        <w:t>Corporate rescue</w:t>
      </w:r>
    </w:p>
    <w:p w14:paraId="2ED7E619" w14:textId="4D0F0CBF" w:rsidR="00A446EB" w:rsidRPr="00A446EB" w:rsidRDefault="00A446EB" w:rsidP="00A446EB">
      <w:pPr>
        <w:numPr>
          <w:ilvl w:val="0"/>
          <w:numId w:val="5"/>
        </w:numPr>
        <w:spacing w:after="0" w:line="240" w:lineRule="auto"/>
        <w:rPr>
          <w:rFonts w:ascii="Calibri" w:eastAsia="Times New Roman" w:hAnsi="Calibri" w:cs="Calibri"/>
          <w:lang w:eastAsia="en-GB"/>
        </w:rPr>
      </w:pPr>
      <w:r w:rsidRPr="00A446EB">
        <w:rPr>
          <w:rFonts w:ascii="Calibri" w:eastAsia="Times New Roman" w:hAnsi="Calibri" w:cs="Calibri"/>
          <w:lang w:eastAsia="en-GB"/>
        </w:rPr>
        <w:t>Directors</w:t>
      </w:r>
      <w:r w:rsidR="004B1173">
        <w:rPr>
          <w:rFonts w:ascii="Calibri" w:eastAsia="Times New Roman" w:hAnsi="Calibri" w:cs="Calibri"/>
          <w:lang w:eastAsia="en-GB"/>
        </w:rPr>
        <w:t>’</w:t>
      </w:r>
      <w:r w:rsidRPr="00A446EB">
        <w:rPr>
          <w:rFonts w:ascii="Calibri" w:eastAsia="Times New Roman" w:hAnsi="Calibri" w:cs="Calibri"/>
          <w:lang w:eastAsia="en-GB"/>
        </w:rPr>
        <w:t xml:space="preserve"> liability </w:t>
      </w:r>
    </w:p>
    <w:p w14:paraId="2BA3177D" w14:textId="5568E14A" w:rsidR="00A446EB" w:rsidRDefault="00A446EB" w:rsidP="00A446EB">
      <w:pPr>
        <w:numPr>
          <w:ilvl w:val="0"/>
          <w:numId w:val="5"/>
        </w:numPr>
        <w:spacing w:after="0" w:line="240" w:lineRule="auto"/>
        <w:rPr>
          <w:rFonts w:ascii="Calibri" w:eastAsia="Times New Roman" w:hAnsi="Calibri" w:cs="Calibri"/>
          <w:lang w:eastAsia="en-GB"/>
        </w:rPr>
      </w:pPr>
      <w:r w:rsidRPr="00A446EB">
        <w:rPr>
          <w:rFonts w:ascii="Calibri" w:eastAsia="Times New Roman" w:hAnsi="Calibri" w:cs="Calibri"/>
          <w:lang w:eastAsia="en-GB"/>
        </w:rPr>
        <w:t>International insolvency</w:t>
      </w:r>
    </w:p>
    <w:p w14:paraId="3397AEEC" w14:textId="77777777" w:rsidR="004B1173" w:rsidRPr="00A446EB" w:rsidRDefault="004B1173" w:rsidP="004B1173">
      <w:pPr>
        <w:spacing w:after="0" w:line="240" w:lineRule="auto"/>
        <w:ind w:left="720"/>
        <w:rPr>
          <w:rFonts w:ascii="Calibri" w:eastAsia="Times New Roman" w:hAnsi="Calibri" w:cs="Calibri"/>
          <w:lang w:eastAsia="en-GB"/>
        </w:rPr>
      </w:pPr>
    </w:p>
    <w:p w14:paraId="73FDF89C" w14:textId="6C2B8B68" w:rsidR="00A446EB" w:rsidRPr="00A446EB" w:rsidRDefault="00A446EB" w:rsidP="004B471C">
      <w:pPr>
        <w:jc w:val="both"/>
        <w:rPr>
          <w:rFonts w:ascii="Calibri" w:eastAsia="PMingLiU" w:hAnsi="Calibri"/>
          <w:lang w:eastAsia="zh-TW"/>
        </w:rPr>
      </w:pPr>
      <w:r>
        <w:rPr>
          <w:rFonts w:ascii="Calibri" w:eastAsia="PMingLiU" w:hAnsi="Calibri"/>
          <w:lang w:eastAsia="zh-TW"/>
        </w:rPr>
        <w:t xml:space="preserve">Please note that this breakdown is not a closed list, and topics that fall outside this breakdown could be accommodated. </w:t>
      </w:r>
    </w:p>
    <w:p w14:paraId="04538135" w14:textId="45EBCF96" w:rsidR="00E7250C" w:rsidRDefault="00E7250C" w:rsidP="004B471C">
      <w:pPr>
        <w:jc w:val="both"/>
        <w:rPr>
          <w:rFonts w:ascii="Calibri" w:eastAsia="PMingLiU" w:hAnsi="Calibri"/>
          <w:lang w:eastAsia="zh-TW"/>
        </w:rPr>
      </w:pPr>
    </w:p>
    <w:p w14:paraId="02878F0E" w14:textId="33E32A0E" w:rsidR="00A446EB" w:rsidRDefault="00A446EB" w:rsidP="004B471C">
      <w:pPr>
        <w:jc w:val="both"/>
        <w:rPr>
          <w:rFonts w:ascii="Calibri" w:eastAsia="PMingLiU" w:hAnsi="Calibri"/>
          <w:lang w:eastAsia="zh-TW"/>
        </w:rPr>
      </w:pPr>
      <w:r w:rsidRPr="00A446EB">
        <w:rPr>
          <w:rFonts w:ascii="Calibri" w:eastAsia="PMingLiU" w:hAnsi="Calibri"/>
          <w:b/>
          <w:bCs/>
          <w:lang w:eastAsia="zh-TW"/>
        </w:rPr>
        <w:t>Requirements</w:t>
      </w:r>
      <w:r>
        <w:rPr>
          <w:rFonts w:ascii="Calibri" w:eastAsia="PMingLiU" w:hAnsi="Calibri"/>
          <w:lang w:eastAsia="zh-TW"/>
        </w:rPr>
        <w:t>:</w:t>
      </w:r>
    </w:p>
    <w:p w14:paraId="00DD7405" w14:textId="7B3408A8" w:rsidR="00A446EB" w:rsidRDefault="00A446EB" w:rsidP="00A446EB">
      <w:pPr>
        <w:jc w:val="both"/>
        <w:rPr>
          <w:rFonts w:ascii="Calibri" w:eastAsia="PMingLiU" w:hAnsi="Calibri"/>
          <w:lang w:eastAsia="zh-TW"/>
        </w:rPr>
      </w:pPr>
      <w:r>
        <w:rPr>
          <w:rFonts w:ascii="Calibri" w:eastAsia="PMingLiU" w:hAnsi="Calibri"/>
          <w:lang w:eastAsia="zh-TW"/>
        </w:rPr>
        <w:t>Abstracts are invited from academics and professionals working within the fields of business and insolvency, for contributions to this special issue publication. Expressions of interest</w:t>
      </w:r>
      <w:r w:rsidR="00696DE1">
        <w:rPr>
          <w:rFonts w:ascii="Calibri" w:eastAsia="PMingLiU" w:hAnsi="Calibri"/>
          <w:lang w:eastAsia="zh-TW"/>
        </w:rPr>
        <w:t>, or any queries</w:t>
      </w:r>
      <w:r>
        <w:rPr>
          <w:rFonts w:ascii="Calibri" w:eastAsia="PMingLiU" w:hAnsi="Calibri"/>
          <w:lang w:eastAsia="zh-TW"/>
        </w:rPr>
        <w:t xml:space="preserve"> should be emailed to Blanca Mamutse </w:t>
      </w:r>
      <w:hyperlink r:id="rId7" w:history="1">
        <w:r w:rsidRPr="00840216">
          <w:rPr>
            <w:rStyle w:val="Hyperlink"/>
            <w:rFonts w:ascii="Calibri" w:eastAsia="PMingLiU" w:hAnsi="Calibri"/>
            <w:lang w:eastAsia="zh-TW"/>
          </w:rPr>
          <w:t>b.c.mamutse@ljmu.ac.uk</w:t>
        </w:r>
      </w:hyperlink>
      <w:r>
        <w:rPr>
          <w:rFonts w:ascii="Calibri" w:eastAsia="PMingLiU" w:hAnsi="Calibri"/>
          <w:lang w:eastAsia="zh-TW"/>
        </w:rPr>
        <w:t xml:space="preserve"> by Friday 15</w:t>
      </w:r>
      <w:r w:rsidRPr="00AE704E">
        <w:rPr>
          <w:rFonts w:ascii="Calibri" w:eastAsia="PMingLiU" w:hAnsi="Calibri"/>
          <w:vertAlign w:val="superscript"/>
          <w:lang w:eastAsia="zh-TW"/>
        </w:rPr>
        <w:t>th</w:t>
      </w:r>
      <w:r>
        <w:rPr>
          <w:rFonts w:ascii="Calibri" w:eastAsia="PMingLiU" w:hAnsi="Calibri"/>
          <w:lang w:eastAsia="zh-TW"/>
        </w:rPr>
        <w:t xml:space="preserve"> July 2022. The final selection will be confirmed by 29</w:t>
      </w:r>
      <w:r w:rsidRPr="004B471C">
        <w:rPr>
          <w:rFonts w:ascii="Calibri" w:eastAsia="PMingLiU" w:hAnsi="Calibri"/>
          <w:vertAlign w:val="superscript"/>
          <w:lang w:eastAsia="zh-TW"/>
        </w:rPr>
        <w:t>th</w:t>
      </w:r>
      <w:r>
        <w:rPr>
          <w:rFonts w:ascii="Calibri" w:eastAsia="PMingLiU" w:hAnsi="Calibri"/>
          <w:lang w:eastAsia="zh-TW"/>
        </w:rPr>
        <w:t xml:space="preserve"> July. The deadline for full drafts of the papers</w:t>
      </w:r>
      <w:r w:rsidR="008C1CB7">
        <w:rPr>
          <w:rFonts w:ascii="Calibri" w:eastAsia="PMingLiU" w:hAnsi="Calibri"/>
          <w:lang w:eastAsia="zh-TW"/>
        </w:rPr>
        <w:t xml:space="preserve"> (7,500-10,500 words)</w:t>
      </w:r>
      <w:r>
        <w:rPr>
          <w:rFonts w:ascii="Calibri" w:eastAsia="PMingLiU" w:hAnsi="Calibri"/>
          <w:lang w:eastAsia="zh-TW"/>
        </w:rPr>
        <w:t xml:space="preserve"> is 28</w:t>
      </w:r>
      <w:r w:rsidRPr="00A446EB">
        <w:rPr>
          <w:rFonts w:ascii="Calibri" w:eastAsia="PMingLiU" w:hAnsi="Calibri"/>
          <w:vertAlign w:val="superscript"/>
          <w:lang w:eastAsia="zh-TW"/>
        </w:rPr>
        <w:t>th</w:t>
      </w:r>
      <w:r>
        <w:rPr>
          <w:rFonts w:ascii="Calibri" w:eastAsia="PMingLiU" w:hAnsi="Calibri"/>
          <w:lang w:eastAsia="zh-TW"/>
        </w:rPr>
        <w:t xml:space="preserve"> October 2022.</w:t>
      </w:r>
    </w:p>
    <w:p w14:paraId="4AB88323" w14:textId="77777777" w:rsidR="00A446EB" w:rsidRDefault="00A446EB" w:rsidP="00A446EB">
      <w:pPr>
        <w:jc w:val="both"/>
        <w:rPr>
          <w:rFonts w:ascii="Calibri" w:eastAsia="PMingLiU" w:hAnsi="Calibri"/>
          <w:lang w:eastAsia="zh-TW"/>
        </w:rPr>
      </w:pPr>
    </w:p>
    <w:p w14:paraId="238BACB6" w14:textId="77777777" w:rsidR="00A446EB" w:rsidRDefault="00A446EB" w:rsidP="00A446EB">
      <w:pPr>
        <w:jc w:val="both"/>
        <w:rPr>
          <w:rFonts w:ascii="Calibri" w:eastAsia="PMingLiU" w:hAnsi="Calibri"/>
          <w:lang w:eastAsia="zh-TW"/>
        </w:rPr>
      </w:pPr>
      <w:r>
        <w:rPr>
          <w:rFonts w:ascii="Calibri" w:eastAsia="PMingLiU" w:hAnsi="Calibri"/>
          <w:lang w:eastAsia="zh-TW"/>
        </w:rPr>
        <w:t>Expressions of interest should contain the following key details:</w:t>
      </w:r>
    </w:p>
    <w:p w14:paraId="406D7CA3" w14:textId="77777777" w:rsidR="00A446EB" w:rsidRDefault="00A446EB" w:rsidP="00A446EB">
      <w:pPr>
        <w:pStyle w:val="ListParagraph"/>
        <w:numPr>
          <w:ilvl w:val="0"/>
          <w:numId w:val="2"/>
        </w:numPr>
        <w:jc w:val="both"/>
        <w:rPr>
          <w:rFonts w:ascii="Calibri" w:eastAsia="PMingLiU" w:hAnsi="Calibri"/>
          <w:lang w:eastAsia="zh-TW"/>
        </w:rPr>
      </w:pPr>
      <w:r>
        <w:rPr>
          <w:rFonts w:ascii="Calibri" w:eastAsia="PMingLiU" w:hAnsi="Calibri"/>
          <w:lang w:eastAsia="zh-TW"/>
        </w:rPr>
        <w:t>The title of the paper</w:t>
      </w:r>
    </w:p>
    <w:p w14:paraId="43534DBC" w14:textId="77777777" w:rsidR="00A446EB" w:rsidRDefault="00A446EB" w:rsidP="00A446EB">
      <w:pPr>
        <w:pStyle w:val="ListParagraph"/>
        <w:numPr>
          <w:ilvl w:val="0"/>
          <w:numId w:val="2"/>
        </w:numPr>
        <w:jc w:val="both"/>
        <w:rPr>
          <w:rFonts w:ascii="Calibri" w:eastAsia="PMingLiU" w:hAnsi="Calibri"/>
          <w:lang w:eastAsia="zh-TW"/>
        </w:rPr>
      </w:pPr>
      <w:r>
        <w:rPr>
          <w:rFonts w:ascii="Calibri" w:eastAsia="PMingLiU" w:hAnsi="Calibri"/>
          <w:lang w:eastAsia="zh-TW"/>
        </w:rPr>
        <w:t>The name(s) and institutional affiliation of the author(s), including email address(es) and postal address(es)</w:t>
      </w:r>
    </w:p>
    <w:p w14:paraId="72108CA0" w14:textId="5DA725C9" w:rsidR="00A446EB" w:rsidRDefault="00A446EB" w:rsidP="00A446EB">
      <w:pPr>
        <w:pStyle w:val="ListParagraph"/>
        <w:numPr>
          <w:ilvl w:val="0"/>
          <w:numId w:val="2"/>
        </w:numPr>
        <w:jc w:val="both"/>
        <w:rPr>
          <w:rFonts w:ascii="Calibri" w:eastAsia="PMingLiU" w:hAnsi="Calibri"/>
          <w:lang w:eastAsia="zh-TW"/>
        </w:rPr>
      </w:pPr>
      <w:r>
        <w:rPr>
          <w:rFonts w:ascii="Calibri" w:eastAsia="PMingLiU" w:hAnsi="Calibri"/>
          <w:lang w:eastAsia="zh-TW"/>
        </w:rPr>
        <w:t xml:space="preserve">An abstract of not more than 300 words </w:t>
      </w:r>
    </w:p>
    <w:p w14:paraId="019AA2E8" w14:textId="7DFD9EB8" w:rsidR="004B471C" w:rsidRDefault="008C1CB7" w:rsidP="004B471C">
      <w:pPr>
        <w:jc w:val="both"/>
        <w:rPr>
          <w:rFonts w:ascii="Calibri" w:eastAsia="PMingLiU" w:hAnsi="Calibri"/>
          <w:lang w:eastAsia="zh-TW"/>
        </w:rPr>
      </w:pPr>
      <w:r>
        <w:rPr>
          <w:rFonts w:ascii="Calibri" w:eastAsia="PMingLiU" w:hAnsi="Calibri"/>
          <w:lang w:eastAsia="zh-TW"/>
        </w:rPr>
        <w:lastRenderedPageBreak/>
        <w:t>Please note that references should use footnotes in OSCOLA citation style. Authors should obtain copyright clearance for any tables or diagrams included in their paper.</w:t>
      </w:r>
    </w:p>
    <w:p w14:paraId="0867DC55" w14:textId="24897430" w:rsidR="004B471C" w:rsidRDefault="004B471C" w:rsidP="004B471C">
      <w:pPr>
        <w:jc w:val="both"/>
        <w:rPr>
          <w:rFonts w:ascii="Calibri" w:eastAsia="PMingLiU" w:hAnsi="Calibri"/>
          <w:lang w:eastAsia="zh-TW"/>
        </w:rPr>
      </w:pPr>
    </w:p>
    <w:p w14:paraId="483B0C6F" w14:textId="72996DB2" w:rsidR="00F83CA7" w:rsidRDefault="00F83CA7" w:rsidP="004B471C">
      <w:pPr>
        <w:jc w:val="both"/>
        <w:rPr>
          <w:rFonts w:ascii="Calibri" w:eastAsia="PMingLiU" w:hAnsi="Calibri"/>
          <w:lang w:eastAsia="zh-TW"/>
        </w:rPr>
      </w:pPr>
      <w:r w:rsidRPr="00F83CA7">
        <w:rPr>
          <w:rFonts w:ascii="Calibri" w:eastAsia="PMingLiU" w:hAnsi="Calibri"/>
          <w:b/>
          <w:bCs/>
          <w:lang w:eastAsia="zh-TW"/>
        </w:rPr>
        <w:t>Journal information</w:t>
      </w:r>
      <w:r>
        <w:rPr>
          <w:rFonts w:ascii="Calibri" w:eastAsia="PMingLiU" w:hAnsi="Calibri"/>
          <w:lang w:eastAsia="zh-TW"/>
        </w:rPr>
        <w:t>:</w:t>
      </w:r>
    </w:p>
    <w:p w14:paraId="5A1F1651" w14:textId="1680B08F" w:rsidR="00F83CA7" w:rsidRPr="00F83CA7" w:rsidRDefault="00F83CA7" w:rsidP="00F83CA7">
      <w:pPr>
        <w:jc w:val="both"/>
        <w:rPr>
          <w:rFonts w:ascii="Calibri" w:eastAsia="PMingLiU" w:hAnsi="Calibri"/>
          <w:lang w:eastAsia="zh-TW"/>
        </w:rPr>
      </w:pPr>
      <w:r w:rsidRPr="004B1173">
        <w:rPr>
          <w:rFonts w:ascii="Calibri" w:eastAsia="PMingLiU" w:hAnsi="Calibri"/>
          <w:i/>
          <w:iCs/>
          <w:lang w:eastAsia="zh-TW"/>
        </w:rPr>
        <w:t>Contemporary Issues in Law</w:t>
      </w:r>
      <w:r w:rsidRPr="00F83CA7">
        <w:rPr>
          <w:rFonts w:ascii="Calibri" w:eastAsia="PMingLiU" w:hAnsi="Calibri"/>
          <w:lang w:eastAsia="zh-TW"/>
        </w:rPr>
        <w:t xml:space="preserve"> </w:t>
      </w:r>
      <w:r>
        <w:rPr>
          <w:rFonts w:ascii="Calibri" w:eastAsia="PMingLiU" w:hAnsi="Calibri"/>
          <w:lang w:eastAsia="zh-TW"/>
        </w:rPr>
        <w:t>(</w:t>
      </w:r>
      <w:r w:rsidRPr="00F83CA7">
        <w:rPr>
          <w:rFonts w:ascii="Calibri" w:eastAsia="PMingLiU" w:hAnsi="Calibri"/>
          <w:lang w:eastAsia="zh-TW"/>
        </w:rPr>
        <w:t>ISSN 1357-0374</w:t>
      </w:r>
      <w:r>
        <w:rPr>
          <w:rFonts w:ascii="Calibri" w:eastAsia="PMingLiU" w:hAnsi="Calibri"/>
          <w:lang w:eastAsia="zh-TW"/>
        </w:rPr>
        <w:t xml:space="preserve">) </w:t>
      </w:r>
      <w:r w:rsidRPr="00F83CA7">
        <w:rPr>
          <w:rFonts w:ascii="Calibri" w:eastAsia="PMingLiU" w:hAnsi="Calibri"/>
          <w:lang w:eastAsia="zh-TW"/>
        </w:rPr>
        <w:t>provides a new and exciting way of exploring the changing dynamics of the law. The journal is designed to cover a broad spectrum of topical issues, which are set within the framework of a common theme.</w:t>
      </w:r>
      <w:r w:rsidR="00247FD9">
        <w:rPr>
          <w:rFonts w:ascii="Calibri" w:eastAsia="PMingLiU" w:hAnsi="Calibri"/>
          <w:lang w:eastAsia="zh-TW"/>
        </w:rPr>
        <w:t xml:space="preserve"> </w:t>
      </w:r>
      <w:r w:rsidR="00247FD9" w:rsidRPr="00F83CA7">
        <w:rPr>
          <w:rFonts w:ascii="Calibri" w:eastAsia="PMingLiU" w:hAnsi="Calibri"/>
          <w:lang w:eastAsia="zh-TW"/>
        </w:rPr>
        <w:t>Contemporary Issues in Law is a refereed journal</w:t>
      </w:r>
      <w:r w:rsidR="00247FD9">
        <w:rPr>
          <w:rFonts w:ascii="Calibri" w:eastAsia="PMingLiU" w:hAnsi="Calibri"/>
          <w:lang w:eastAsia="zh-TW"/>
        </w:rPr>
        <w:t>.</w:t>
      </w:r>
    </w:p>
    <w:p w14:paraId="75A8193C" w14:textId="77777777" w:rsidR="00F83CA7" w:rsidRPr="00F83CA7" w:rsidRDefault="00F83CA7" w:rsidP="00F83CA7">
      <w:pPr>
        <w:jc w:val="both"/>
        <w:rPr>
          <w:rFonts w:ascii="Calibri" w:eastAsia="PMingLiU" w:hAnsi="Calibri"/>
          <w:lang w:eastAsia="zh-TW"/>
        </w:rPr>
      </w:pPr>
      <w:r w:rsidRPr="00F83CA7">
        <w:rPr>
          <w:rFonts w:ascii="Calibri" w:eastAsia="PMingLiU" w:hAnsi="Calibri"/>
          <w:lang w:eastAsia="zh-TW"/>
        </w:rPr>
        <w:t xml:space="preserve">Each issue focuses on one theme. The implications of this theme on different areas of current legal concern are then explored. By discussing different issues of contemporary legal interest in relation to a theme in this way, </w:t>
      </w:r>
      <w:proofErr w:type="gramStart"/>
      <w:r w:rsidRPr="00F83CA7">
        <w:rPr>
          <w:rFonts w:ascii="Calibri" w:eastAsia="PMingLiU" w:hAnsi="Calibri"/>
          <w:lang w:eastAsia="zh-TW"/>
        </w:rPr>
        <w:t>a number of</w:t>
      </w:r>
      <w:proofErr w:type="gramEnd"/>
      <w:r w:rsidRPr="00F83CA7">
        <w:rPr>
          <w:rFonts w:ascii="Calibri" w:eastAsia="PMingLiU" w:hAnsi="Calibri"/>
          <w:lang w:eastAsia="zh-TW"/>
        </w:rPr>
        <w:t xml:space="preserve"> apparently separate issues are drawn together under the same topical umbrella. The result is a coherent framework which offers the reader a clear overview of the broader thematic influences on the law generally whilst also focusing more specifically on current manifestations of this influence at work in specific areas of current concern.</w:t>
      </w:r>
    </w:p>
    <w:p w14:paraId="4F1154C7" w14:textId="77777777" w:rsidR="00F83CA7" w:rsidRPr="00F83CA7" w:rsidRDefault="00F83CA7" w:rsidP="00F83CA7">
      <w:pPr>
        <w:jc w:val="both"/>
        <w:rPr>
          <w:rFonts w:ascii="Calibri" w:eastAsia="PMingLiU" w:hAnsi="Calibri"/>
          <w:lang w:eastAsia="zh-TW"/>
        </w:rPr>
      </w:pPr>
    </w:p>
    <w:p w14:paraId="12E44615" w14:textId="5A61563D" w:rsidR="00F83CA7" w:rsidRDefault="00F83CA7" w:rsidP="004B471C">
      <w:pPr>
        <w:jc w:val="both"/>
        <w:rPr>
          <w:rFonts w:ascii="Calibri" w:eastAsia="PMingLiU" w:hAnsi="Calibri"/>
          <w:lang w:eastAsia="zh-TW"/>
        </w:rPr>
      </w:pPr>
    </w:p>
    <w:p w14:paraId="63364E5B" w14:textId="3568DDFD" w:rsidR="00F83CA7" w:rsidRDefault="00F83CA7" w:rsidP="004B471C">
      <w:pPr>
        <w:jc w:val="both"/>
        <w:rPr>
          <w:rFonts w:ascii="Calibri" w:eastAsia="PMingLiU" w:hAnsi="Calibri"/>
          <w:lang w:eastAsia="zh-TW"/>
        </w:rPr>
      </w:pPr>
    </w:p>
    <w:p w14:paraId="13190017" w14:textId="41252947" w:rsidR="00F83CA7" w:rsidRDefault="00F83CA7" w:rsidP="004B471C">
      <w:pPr>
        <w:jc w:val="both"/>
        <w:rPr>
          <w:rFonts w:ascii="Calibri" w:eastAsia="PMingLiU" w:hAnsi="Calibri"/>
          <w:lang w:eastAsia="zh-TW"/>
        </w:rPr>
      </w:pPr>
    </w:p>
    <w:p w14:paraId="49AD681A" w14:textId="1C7F8916" w:rsidR="00F83CA7" w:rsidRDefault="00F83CA7" w:rsidP="004B471C">
      <w:pPr>
        <w:jc w:val="both"/>
        <w:rPr>
          <w:rFonts w:ascii="Calibri" w:eastAsia="PMingLiU" w:hAnsi="Calibri"/>
          <w:lang w:eastAsia="zh-TW"/>
        </w:rPr>
      </w:pPr>
    </w:p>
    <w:p w14:paraId="63BACA16" w14:textId="0FE79792" w:rsidR="00F83CA7" w:rsidRDefault="00F83CA7" w:rsidP="004B471C">
      <w:pPr>
        <w:jc w:val="both"/>
        <w:rPr>
          <w:rFonts w:ascii="Calibri" w:eastAsia="PMingLiU" w:hAnsi="Calibri"/>
          <w:lang w:eastAsia="zh-TW"/>
        </w:rPr>
      </w:pPr>
    </w:p>
    <w:p w14:paraId="42AE6CE4" w14:textId="38945127" w:rsidR="00F83CA7" w:rsidRDefault="00F83CA7" w:rsidP="004B471C">
      <w:pPr>
        <w:jc w:val="both"/>
        <w:rPr>
          <w:rFonts w:ascii="Calibri" w:eastAsia="PMingLiU" w:hAnsi="Calibri"/>
          <w:lang w:eastAsia="zh-TW"/>
        </w:rPr>
      </w:pPr>
    </w:p>
    <w:p w14:paraId="2CFA1558" w14:textId="11119216" w:rsidR="00F83CA7" w:rsidRDefault="00F83CA7" w:rsidP="004B471C">
      <w:pPr>
        <w:jc w:val="both"/>
        <w:rPr>
          <w:rFonts w:ascii="Calibri" w:eastAsia="PMingLiU" w:hAnsi="Calibri"/>
          <w:lang w:eastAsia="zh-TW"/>
        </w:rPr>
      </w:pPr>
    </w:p>
    <w:p w14:paraId="6A1E038C" w14:textId="1C7AFC7C" w:rsidR="00F83CA7" w:rsidRDefault="00F83CA7" w:rsidP="004B471C">
      <w:pPr>
        <w:jc w:val="both"/>
        <w:rPr>
          <w:rFonts w:ascii="Calibri" w:eastAsia="PMingLiU" w:hAnsi="Calibri"/>
          <w:lang w:eastAsia="zh-TW"/>
        </w:rPr>
      </w:pPr>
    </w:p>
    <w:p w14:paraId="3534E6BB" w14:textId="49846AED" w:rsidR="00F83CA7" w:rsidRDefault="00F83CA7" w:rsidP="004B471C">
      <w:pPr>
        <w:jc w:val="both"/>
        <w:rPr>
          <w:rFonts w:ascii="Calibri" w:eastAsia="PMingLiU" w:hAnsi="Calibri"/>
          <w:lang w:eastAsia="zh-TW"/>
        </w:rPr>
      </w:pPr>
    </w:p>
    <w:p w14:paraId="3012B648" w14:textId="6202201C" w:rsidR="00F83CA7" w:rsidRDefault="00F83CA7" w:rsidP="004B471C">
      <w:pPr>
        <w:jc w:val="both"/>
        <w:rPr>
          <w:rFonts w:ascii="Calibri" w:eastAsia="PMingLiU" w:hAnsi="Calibri"/>
          <w:lang w:eastAsia="zh-TW"/>
        </w:rPr>
      </w:pPr>
    </w:p>
    <w:p w14:paraId="41B0535B" w14:textId="77777777" w:rsidR="00F83CA7" w:rsidRDefault="00F83CA7" w:rsidP="004B471C">
      <w:pPr>
        <w:jc w:val="both"/>
        <w:rPr>
          <w:rFonts w:ascii="Calibri" w:eastAsia="PMingLiU" w:hAnsi="Calibri"/>
          <w:lang w:eastAsia="zh-TW"/>
        </w:rPr>
      </w:pPr>
    </w:p>
    <w:p w14:paraId="4C652D3E" w14:textId="163D12C4" w:rsidR="004B471C" w:rsidRPr="004B1173" w:rsidRDefault="004B471C">
      <w:pPr>
        <w:rPr>
          <w:rFonts w:ascii="Calibri" w:hAnsi="Calibri"/>
        </w:rPr>
      </w:pPr>
    </w:p>
    <w:sectPr w:rsidR="004B471C" w:rsidRPr="004B117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26A09" w14:textId="77777777" w:rsidR="004B471C" w:rsidRDefault="004B471C" w:rsidP="004B471C">
      <w:pPr>
        <w:spacing w:after="0" w:line="240" w:lineRule="auto"/>
      </w:pPr>
      <w:r>
        <w:separator/>
      </w:r>
    </w:p>
  </w:endnote>
  <w:endnote w:type="continuationSeparator" w:id="0">
    <w:p w14:paraId="599D2159" w14:textId="77777777" w:rsidR="004B471C" w:rsidRDefault="004B471C" w:rsidP="004B4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997539"/>
      <w:docPartObj>
        <w:docPartGallery w:val="Page Numbers (Bottom of Page)"/>
        <w:docPartUnique/>
      </w:docPartObj>
    </w:sdtPr>
    <w:sdtEndPr>
      <w:rPr>
        <w:noProof/>
      </w:rPr>
    </w:sdtEndPr>
    <w:sdtContent>
      <w:p w14:paraId="1561A0EC" w14:textId="5AFFF47A" w:rsidR="004B471C" w:rsidRDefault="004B47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97802E" w14:textId="77777777" w:rsidR="004B471C" w:rsidRDefault="004B4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4CACB" w14:textId="77777777" w:rsidR="004B471C" w:rsidRDefault="004B471C" w:rsidP="004B471C">
      <w:pPr>
        <w:spacing w:after="0" w:line="240" w:lineRule="auto"/>
      </w:pPr>
      <w:r>
        <w:separator/>
      </w:r>
    </w:p>
  </w:footnote>
  <w:footnote w:type="continuationSeparator" w:id="0">
    <w:p w14:paraId="6C67DFC7" w14:textId="77777777" w:rsidR="004B471C" w:rsidRDefault="004B471C" w:rsidP="004B4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153E" w14:textId="50653444" w:rsidR="004B471C" w:rsidRDefault="00071E96" w:rsidP="004B471C">
    <w:pPr>
      <w:pStyle w:val="Header"/>
      <w:tabs>
        <w:tab w:val="clear" w:pos="4513"/>
      </w:tabs>
    </w:pPr>
    <w:r>
      <w:rPr>
        <w:noProof/>
      </w:rPr>
      <w:drawing>
        <wp:inline distT="0" distB="0" distL="0" distR="0" wp14:anchorId="00CB9CA8" wp14:editId="6B604FCE">
          <wp:extent cx="1492250" cy="469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69900"/>
                  </a:xfrm>
                  <a:prstGeom prst="rect">
                    <a:avLst/>
                  </a:prstGeom>
                  <a:noFill/>
                </pic:spPr>
              </pic:pic>
            </a:graphicData>
          </a:graphic>
        </wp:inline>
      </w:drawing>
    </w:r>
    <w:r w:rsidR="004B471C">
      <w:tab/>
    </w:r>
    <w:r w:rsidR="00E7250C">
      <w:rPr>
        <w:noProof/>
      </w:rPr>
      <w:drawing>
        <wp:inline distT="0" distB="0" distL="0" distR="0" wp14:anchorId="46194299" wp14:editId="29D87854">
          <wp:extent cx="1314450" cy="69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r="76069"/>
                  <a:stretch/>
                </pic:blipFill>
                <pic:spPr bwMode="auto">
                  <a:xfrm>
                    <a:off x="0" y="0"/>
                    <a:ext cx="1314450" cy="692150"/>
                  </a:xfrm>
                  <a:prstGeom prst="rect">
                    <a:avLst/>
                  </a:prstGeom>
                  <a:noFill/>
                  <a:ln>
                    <a:noFill/>
                  </a:ln>
                  <a:extLst>
                    <a:ext uri="{53640926-AAD7-44D8-BBD7-CCE9431645EC}">
                      <a14:shadowObscured xmlns:a14="http://schemas.microsoft.com/office/drawing/2010/main"/>
                    </a:ext>
                  </a:extLst>
                </pic:spPr>
              </pic:pic>
            </a:graphicData>
          </a:graphic>
        </wp:inline>
      </w:drawing>
    </w:r>
    <w:r w:rsidR="004B471C">
      <w:t xml:space="preserve">    </w:t>
    </w:r>
  </w:p>
  <w:p w14:paraId="0224C57E" w14:textId="77777777" w:rsidR="00071E96" w:rsidRDefault="00071E96" w:rsidP="004B471C">
    <w:pPr>
      <w:pStyle w:val="Header"/>
      <w:tabs>
        <w:tab w:val="clear" w:pos="4513"/>
      </w:tabs>
    </w:pPr>
  </w:p>
  <w:p w14:paraId="2972D308" w14:textId="77777777" w:rsidR="004B471C" w:rsidRDefault="004B471C" w:rsidP="004B471C">
    <w:pPr>
      <w:pStyle w:val="Header"/>
      <w:tabs>
        <w:tab w:val="clea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82D"/>
    <w:multiLevelType w:val="hybridMultilevel"/>
    <w:tmpl w:val="8C866478"/>
    <w:lvl w:ilvl="0" w:tplc="B65688A0">
      <w:start w:val="1"/>
      <w:numFmt w:val="decimal"/>
      <w:lvlText w:val="%1)"/>
      <w:lvlJc w:val="left"/>
      <w:pPr>
        <w:ind w:left="720" w:hanging="36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D5331B"/>
    <w:multiLevelType w:val="multilevel"/>
    <w:tmpl w:val="864A69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C622D6"/>
    <w:multiLevelType w:val="hybridMultilevel"/>
    <w:tmpl w:val="6F58FD1E"/>
    <w:lvl w:ilvl="0" w:tplc="49BE6F3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9410488"/>
    <w:multiLevelType w:val="hybridMultilevel"/>
    <w:tmpl w:val="64103FF6"/>
    <w:lvl w:ilvl="0" w:tplc="3320B04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E136E46"/>
    <w:multiLevelType w:val="hybridMultilevel"/>
    <w:tmpl w:val="44586D08"/>
    <w:lvl w:ilvl="0" w:tplc="0809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1C"/>
    <w:rsid w:val="00071E96"/>
    <w:rsid w:val="0014142E"/>
    <w:rsid w:val="001D5DE3"/>
    <w:rsid w:val="00240350"/>
    <w:rsid w:val="00247FD9"/>
    <w:rsid w:val="003A626C"/>
    <w:rsid w:val="004001B3"/>
    <w:rsid w:val="004B1173"/>
    <w:rsid w:val="004B471C"/>
    <w:rsid w:val="00625354"/>
    <w:rsid w:val="00696DE1"/>
    <w:rsid w:val="007316CB"/>
    <w:rsid w:val="008C1CB7"/>
    <w:rsid w:val="00A446EB"/>
    <w:rsid w:val="00AE704E"/>
    <w:rsid w:val="00B63BF1"/>
    <w:rsid w:val="00BA759D"/>
    <w:rsid w:val="00E7250C"/>
    <w:rsid w:val="00F63F30"/>
    <w:rsid w:val="00F83C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B99FCBE"/>
  <w15:chartTrackingRefBased/>
  <w15:docId w15:val="{D78F4EBA-61DC-483A-B72B-CD175C547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4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71C"/>
  </w:style>
  <w:style w:type="paragraph" w:styleId="Footer">
    <w:name w:val="footer"/>
    <w:basedOn w:val="Normal"/>
    <w:link w:val="FooterChar"/>
    <w:uiPriority w:val="99"/>
    <w:unhideWhenUsed/>
    <w:rsid w:val="004B4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71C"/>
  </w:style>
  <w:style w:type="character" w:styleId="Hyperlink">
    <w:name w:val="Hyperlink"/>
    <w:basedOn w:val="DefaultParagraphFont"/>
    <w:uiPriority w:val="99"/>
    <w:unhideWhenUsed/>
    <w:rsid w:val="004B471C"/>
    <w:rPr>
      <w:color w:val="0563C1" w:themeColor="hyperlink"/>
      <w:u w:val="single"/>
    </w:rPr>
  </w:style>
  <w:style w:type="character" w:styleId="UnresolvedMention">
    <w:name w:val="Unresolved Mention"/>
    <w:basedOn w:val="DefaultParagraphFont"/>
    <w:uiPriority w:val="99"/>
    <w:semiHidden/>
    <w:unhideWhenUsed/>
    <w:rsid w:val="004B471C"/>
    <w:rPr>
      <w:color w:val="605E5C"/>
      <w:shd w:val="clear" w:color="auto" w:fill="E1DFDD"/>
    </w:rPr>
  </w:style>
  <w:style w:type="paragraph" w:styleId="ListParagraph">
    <w:name w:val="List Paragraph"/>
    <w:basedOn w:val="Normal"/>
    <w:uiPriority w:val="34"/>
    <w:qFormat/>
    <w:rsid w:val="004B47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c.mamutse@ljmu.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Mamutse, Blanca</dc:creator>
  <cp:keywords/>
  <dc:description/>
  <cp:lastModifiedBy>Mamutse, Blanca</cp:lastModifiedBy>
  <cp:revision>2</cp:revision>
  <cp:lastPrinted>2022-06-20T15:37:00Z</cp:lastPrinted>
  <dcterms:created xsi:type="dcterms:W3CDTF">2022-06-20T16:01:00Z</dcterms:created>
  <dcterms:modified xsi:type="dcterms:W3CDTF">2022-06-20T16:01:00Z</dcterms:modified>
</cp:coreProperties>
</file>