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34D3F3" w14:textId="77777777" w:rsidR="00AB20C2" w:rsidRDefault="00040A62" w:rsidP="00000B31">
      <w:pPr>
        <w:snapToGrid w:val="0"/>
        <w:spacing w:before="120" w:line="280" w:lineRule="exact"/>
        <w:jc w:val="center"/>
        <w:rPr>
          <w:rFonts w:ascii="Palatino Linotype" w:eastAsia="Palatino Linotype" w:hAnsi="Palatino Linotype" w:cs="Palatino Linotype"/>
          <w:b/>
          <w:bCs/>
          <w:sz w:val="28"/>
          <w:szCs w:val="28"/>
        </w:rPr>
      </w:pPr>
      <w:r>
        <w:rPr>
          <w:rFonts w:ascii="Palatino Linotype" w:eastAsia="Palatino Linotype" w:hAnsi="Palatino Linotype" w:cs="Palatino Linotype"/>
          <w:b/>
          <w:bCs/>
          <w:sz w:val="28"/>
          <w:szCs w:val="28"/>
        </w:rPr>
        <w:t>OPEN CALL FOR ABSTRACTS</w:t>
      </w:r>
    </w:p>
    <w:p w14:paraId="12B40B30" w14:textId="431694B5" w:rsidR="00AB20C2" w:rsidRDefault="00040A62" w:rsidP="00000B31">
      <w:pPr>
        <w:snapToGrid w:val="0"/>
        <w:spacing w:before="120" w:line="280" w:lineRule="exact"/>
        <w:jc w:val="center"/>
        <w:rPr>
          <w:rFonts w:ascii="Palatino Linotype" w:eastAsia="Palatino Linotype" w:hAnsi="Palatino Linotype" w:cs="Palatino Linotype"/>
          <w:b/>
          <w:bCs/>
          <w:sz w:val="28"/>
          <w:szCs w:val="28"/>
        </w:rPr>
      </w:pPr>
      <w:r>
        <w:rPr>
          <w:rFonts w:ascii="Palatino Linotype" w:eastAsia="Palatino Linotype" w:hAnsi="Palatino Linotype" w:cs="Palatino Linotype"/>
          <w:b/>
          <w:bCs/>
          <w:sz w:val="28"/>
          <w:szCs w:val="28"/>
        </w:rPr>
        <w:t>EYIEL 202</w:t>
      </w:r>
      <w:r w:rsidR="00C53D83">
        <w:rPr>
          <w:rFonts w:ascii="Palatino Linotype" w:eastAsia="Palatino Linotype" w:hAnsi="Palatino Linotype" w:cs="Palatino Linotype"/>
          <w:b/>
          <w:bCs/>
          <w:sz w:val="28"/>
          <w:szCs w:val="28"/>
        </w:rPr>
        <w:t>2</w:t>
      </w:r>
    </w:p>
    <w:p w14:paraId="201DF84C" w14:textId="19598ED3" w:rsidR="00AB20C2" w:rsidRDefault="000A549B" w:rsidP="00000B31">
      <w:pPr>
        <w:snapToGrid w:val="0"/>
        <w:spacing w:before="120" w:line="280" w:lineRule="exact"/>
        <w:jc w:val="center"/>
        <w:rPr>
          <w:rFonts w:ascii="Palatino Linotype" w:eastAsia="Palatino Linotype" w:hAnsi="Palatino Linotype" w:cs="Palatino Linotype"/>
          <w:b/>
          <w:bCs/>
        </w:rPr>
      </w:pPr>
      <w:r>
        <w:rPr>
          <w:rFonts w:ascii="Palatino Linotype" w:eastAsia="Palatino Linotype" w:hAnsi="Palatino Linotype" w:cs="Palatino Linotype"/>
          <w:b/>
          <w:bCs/>
        </w:rPr>
        <w:t>Climate Change and International Economic Law</w:t>
      </w:r>
    </w:p>
    <w:p w14:paraId="23C4B653" w14:textId="77777777" w:rsidR="00AB20C2" w:rsidRDefault="00AB20C2" w:rsidP="00000B31">
      <w:pPr>
        <w:snapToGrid w:val="0"/>
        <w:spacing w:before="120" w:line="280" w:lineRule="exact"/>
        <w:jc w:val="both"/>
        <w:rPr>
          <w:rFonts w:ascii="Palatino Linotype" w:eastAsia="Palatino Linotype" w:hAnsi="Palatino Linotype" w:cs="Palatino Linotype"/>
          <w:b/>
          <w:bCs/>
        </w:rPr>
      </w:pPr>
    </w:p>
    <w:p w14:paraId="034E9281" w14:textId="15902977" w:rsidR="005C42C6" w:rsidRPr="002B77DA" w:rsidRDefault="00040A62" w:rsidP="00000B31">
      <w:pPr>
        <w:snapToGrid w:val="0"/>
        <w:spacing w:before="120" w:line="280" w:lineRule="exact"/>
        <w:jc w:val="both"/>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The editors of the European Yearbook for International Economic Law (EYIEL) welcome abstracts from scholars and practitioners at all stages of their career for the focus section of the EYIEL 202</w:t>
      </w:r>
      <w:r w:rsidR="00C53D83">
        <w:rPr>
          <w:rFonts w:ascii="Palatino Linotype" w:eastAsia="Palatino Linotype" w:hAnsi="Palatino Linotype" w:cs="Palatino Linotype"/>
          <w:sz w:val="22"/>
          <w:szCs w:val="22"/>
        </w:rPr>
        <w:t>2</w:t>
      </w:r>
      <w:r>
        <w:rPr>
          <w:rFonts w:ascii="Palatino Linotype" w:eastAsia="Palatino Linotype" w:hAnsi="Palatino Linotype" w:cs="Palatino Linotype"/>
          <w:sz w:val="22"/>
          <w:szCs w:val="22"/>
        </w:rPr>
        <w:t xml:space="preserve">. This </w:t>
      </w:r>
      <w:r w:rsidRPr="002B77DA">
        <w:rPr>
          <w:rFonts w:ascii="Palatino Linotype" w:eastAsia="Palatino Linotype" w:hAnsi="Palatino Linotype" w:cs="Palatino Linotype"/>
          <w:sz w:val="22"/>
          <w:szCs w:val="22"/>
        </w:rPr>
        <w:t xml:space="preserve">year’s focus will be on </w:t>
      </w:r>
      <w:r w:rsidR="000A549B" w:rsidRPr="002B77DA">
        <w:rPr>
          <w:rFonts w:ascii="Palatino Linotype" w:eastAsia="Palatino Linotype" w:hAnsi="Palatino Linotype" w:cs="Palatino Linotype"/>
          <w:sz w:val="22"/>
          <w:szCs w:val="22"/>
        </w:rPr>
        <w:t>the impact of climate change on international economic law.</w:t>
      </w:r>
    </w:p>
    <w:p w14:paraId="6560D0AF" w14:textId="78DB1E90" w:rsidR="00AB20C2" w:rsidRPr="002B77DA" w:rsidRDefault="00040A62" w:rsidP="00000B31">
      <w:pPr>
        <w:snapToGrid w:val="0"/>
        <w:spacing w:before="120" w:line="280" w:lineRule="exact"/>
        <w:jc w:val="both"/>
        <w:rPr>
          <w:rFonts w:ascii="Palatino Linotype" w:eastAsia="Palatino Linotype" w:hAnsi="Palatino Linotype" w:cs="Palatino Linotype"/>
          <w:sz w:val="22"/>
          <w:szCs w:val="22"/>
        </w:rPr>
      </w:pPr>
      <w:r w:rsidRPr="002B77DA">
        <w:rPr>
          <w:rFonts w:ascii="Palatino Linotype" w:eastAsia="Palatino Linotype" w:hAnsi="Palatino Linotype" w:cs="Palatino Linotype"/>
          <w:sz w:val="22"/>
          <w:szCs w:val="22"/>
        </w:rPr>
        <w:t xml:space="preserve">Abstracts may cover any topic relating to dispute settlement in the field of international economic law, though preference is given to topics focusing on the perspective from public </w:t>
      </w:r>
      <w:r w:rsidR="000A549B" w:rsidRPr="002B77DA">
        <w:rPr>
          <w:rFonts w:ascii="Palatino Linotype" w:eastAsia="Palatino Linotype" w:hAnsi="Palatino Linotype" w:cs="Palatino Linotype"/>
          <w:sz w:val="22"/>
          <w:szCs w:val="22"/>
        </w:rPr>
        <w:t xml:space="preserve">and private </w:t>
      </w:r>
      <w:r w:rsidRPr="002B77DA">
        <w:rPr>
          <w:rFonts w:ascii="Palatino Linotype" w:eastAsia="Palatino Linotype" w:hAnsi="Palatino Linotype" w:cs="Palatino Linotype"/>
          <w:sz w:val="22"/>
          <w:szCs w:val="22"/>
        </w:rPr>
        <w:t xml:space="preserve">international or EU law. We particularly welcome contributions addressing the following aspects: </w:t>
      </w:r>
    </w:p>
    <w:p w14:paraId="0A20CF40" w14:textId="11AF5A1C" w:rsidR="000A549B" w:rsidRPr="002B77DA" w:rsidRDefault="000A549B" w:rsidP="000A549B">
      <w:pPr>
        <w:pStyle w:val="Listenabsatz"/>
        <w:numPr>
          <w:ilvl w:val="0"/>
          <w:numId w:val="2"/>
        </w:numPr>
        <w:snapToGrid w:val="0"/>
        <w:spacing w:before="120" w:line="280" w:lineRule="exact"/>
        <w:jc w:val="both"/>
        <w:rPr>
          <w:rFonts w:ascii="Palatino Linotype" w:eastAsia="Palatino Linotype" w:hAnsi="Palatino Linotype" w:cs="Palatino Linotype"/>
          <w:sz w:val="22"/>
          <w:szCs w:val="22"/>
        </w:rPr>
      </w:pPr>
      <w:r w:rsidRPr="002B77DA">
        <w:rPr>
          <w:rFonts w:ascii="Palatino Linotype" w:eastAsia="Palatino Linotype" w:hAnsi="Palatino Linotype" w:cs="Palatino Linotype"/>
          <w:sz w:val="22"/>
          <w:szCs w:val="22"/>
        </w:rPr>
        <w:t xml:space="preserve">Climate change in </w:t>
      </w:r>
      <w:r w:rsidR="00040A62" w:rsidRPr="002B77DA">
        <w:rPr>
          <w:rFonts w:ascii="Palatino Linotype" w:eastAsia="Palatino Linotype" w:hAnsi="Palatino Linotype" w:cs="Palatino Linotype"/>
          <w:sz w:val="22"/>
          <w:szCs w:val="22"/>
        </w:rPr>
        <w:t xml:space="preserve">WTO </w:t>
      </w:r>
      <w:r w:rsidRPr="002B77DA">
        <w:rPr>
          <w:rFonts w:ascii="Palatino Linotype" w:eastAsia="Palatino Linotype" w:hAnsi="Palatino Linotype" w:cs="Palatino Linotype"/>
          <w:sz w:val="22"/>
          <w:szCs w:val="22"/>
        </w:rPr>
        <w:t>and international trade law</w:t>
      </w:r>
    </w:p>
    <w:p w14:paraId="687C74BD" w14:textId="77777777" w:rsidR="002B77DA" w:rsidRDefault="002B77DA" w:rsidP="000A549B">
      <w:pPr>
        <w:pStyle w:val="Listenabsatz"/>
        <w:numPr>
          <w:ilvl w:val="0"/>
          <w:numId w:val="2"/>
        </w:numPr>
        <w:snapToGrid w:val="0"/>
        <w:spacing w:before="120" w:line="280" w:lineRule="exact"/>
        <w:jc w:val="both"/>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Impact of</w:t>
      </w:r>
      <w:r w:rsidR="000A549B" w:rsidRPr="002B77DA">
        <w:rPr>
          <w:rFonts w:ascii="Palatino Linotype" w:eastAsia="Palatino Linotype" w:hAnsi="Palatino Linotype" w:cs="Palatino Linotype"/>
          <w:sz w:val="22"/>
          <w:szCs w:val="22"/>
        </w:rPr>
        <w:t xml:space="preserve"> investment protection </w:t>
      </w:r>
      <w:r>
        <w:rPr>
          <w:rFonts w:ascii="Palatino Linotype" w:eastAsia="Palatino Linotype" w:hAnsi="Palatino Linotype" w:cs="Palatino Linotype"/>
          <w:sz w:val="22"/>
          <w:szCs w:val="22"/>
        </w:rPr>
        <w:t>treaties on</w:t>
      </w:r>
      <w:r w:rsidR="000A549B" w:rsidRPr="002B77DA">
        <w:rPr>
          <w:rFonts w:ascii="Palatino Linotype" w:eastAsia="Palatino Linotype" w:hAnsi="Palatino Linotype" w:cs="Palatino Linotype"/>
          <w:sz w:val="22"/>
          <w:szCs w:val="22"/>
        </w:rPr>
        <w:t xml:space="preserve"> energy transformation</w:t>
      </w:r>
    </w:p>
    <w:p w14:paraId="1B24A12A" w14:textId="132E4EB2" w:rsidR="000A549B" w:rsidRPr="002B77DA" w:rsidRDefault="002B77DA" w:rsidP="000A549B">
      <w:pPr>
        <w:pStyle w:val="Listenabsatz"/>
        <w:numPr>
          <w:ilvl w:val="0"/>
          <w:numId w:val="2"/>
        </w:numPr>
        <w:snapToGrid w:val="0"/>
        <w:spacing w:before="120" w:line="280" w:lineRule="exact"/>
        <w:jc w:val="both"/>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 xml:space="preserve">Reform of the </w:t>
      </w:r>
      <w:r w:rsidR="000A549B" w:rsidRPr="002B77DA">
        <w:rPr>
          <w:rFonts w:ascii="Palatino Linotype" w:eastAsia="Palatino Linotype" w:hAnsi="Palatino Linotype" w:cs="Palatino Linotype"/>
          <w:sz w:val="22"/>
          <w:szCs w:val="22"/>
        </w:rPr>
        <w:t>Energy Charter Treaty</w:t>
      </w:r>
    </w:p>
    <w:p w14:paraId="23A28A07" w14:textId="77777777" w:rsidR="000A549B" w:rsidRPr="002B77DA" w:rsidRDefault="000A549B" w:rsidP="000A549B">
      <w:pPr>
        <w:pStyle w:val="Listenabsatz"/>
        <w:numPr>
          <w:ilvl w:val="0"/>
          <w:numId w:val="2"/>
        </w:numPr>
        <w:snapToGrid w:val="0"/>
        <w:spacing w:before="120" w:line="280" w:lineRule="exact"/>
        <w:jc w:val="both"/>
        <w:rPr>
          <w:rFonts w:ascii="Palatino Linotype" w:eastAsia="Palatino Linotype" w:hAnsi="Palatino Linotype" w:cs="Palatino Linotype"/>
          <w:sz w:val="22"/>
          <w:szCs w:val="22"/>
        </w:rPr>
      </w:pPr>
      <w:r w:rsidRPr="002B77DA">
        <w:rPr>
          <w:rFonts w:ascii="Palatino Linotype" w:eastAsia="Palatino Linotype" w:hAnsi="Palatino Linotype" w:cs="Palatino Linotype"/>
          <w:sz w:val="22"/>
          <w:szCs w:val="22"/>
        </w:rPr>
        <w:t>Financial and monetary law aspects of climate change</w:t>
      </w:r>
    </w:p>
    <w:p w14:paraId="701E6994" w14:textId="6B7600CD" w:rsidR="000A549B" w:rsidRPr="002B77DA" w:rsidRDefault="000A549B" w:rsidP="000A549B">
      <w:pPr>
        <w:pStyle w:val="Listenabsatz"/>
        <w:numPr>
          <w:ilvl w:val="0"/>
          <w:numId w:val="2"/>
        </w:numPr>
        <w:snapToGrid w:val="0"/>
        <w:spacing w:before="120" w:line="280" w:lineRule="exact"/>
        <w:jc w:val="both"/>
        <w:rPr>
          <w:rFonts w:ascii="Palatino Linotype" w:eastAsia="Palatino Linotype" w:hAnsi="Palatino Linotype" w:cs="Palatino Linotype"/>
          <w:sz w:val="22"/>
          <w:szCs w:val="22"/>
        </w:rPr>
      </w:pPr>
      <w:r w:rsidRPr="002B77DA">
        <w:rPr>
          <w:rFonts w:ascii="Palatino Linotype" w:eastAsia="Palatino Linotype" w:hAnsi="Palatino Linotype" w:cs="Palatino Linotype"/>
          <w:sz w:val="22"/>
          <w:szCs w:val="22"/>
        </w:rPr>
        <w:t xml:space="preserve">Relationship between UNFCCC and Glasgow </w:t>
      </w:r>
      <w:r w:rsidR="002B77DA">
        <w:rPr>
          <w:rFonts w:ascii="Palatino Linotype" w:eastAsia="Palatino Linotype" w:hAnsi="Palatino Linotype" w:cs="Palatino Linotype"/>
          <w:sz w:val="22"/>
          <w:szCs w:val="22"/>
        </w:rPr>
        <w:t xml:space="preserve">Climate </w:t>
      </w:r>
      <w:r w:rsidRPr="002B77DA">
        <w:rPr>
          <w:rFonts w:ascii="Palatino Linotype" w:eastAsia="Palatino Linotype" w:hAnsi="Palatino Linotype" w:cs="Palatino Linotype"/>
          <w:sz w:val="22"/>
          <w:szCs w:val="22"/>
        </w:rPr>
        <w:t>Pact and international economic law</w:t>
      </w:r>
    </w:p>
    <w:p w14:paraId="3B23FDD2" w14:textId="0E47B604" w:rsidR="000A549B" w:rsidRPr="002B77DA" w:rsidRDefault="000A549B" w:rsidP="000A549B">
      <w:pPr>
        <w:pStyle w:val="Listenabsatz"/>
        <w:numPr>
          <w:ilvl w:val="0"/>
          <w:numId w:val="2"/>
        </w:numPr>
        <w:snapToGrid w:val="0"/>
        <w:spacing w:before="120" w:line="280" w:lineRule="exact"/>
        <w:jc w:val="both"/>
        <w:rPr>
          <w:rFonts w:ascii="Palatino Linotype" w:eastAsia="Palatino Linotype" w:hAnsi="Palatino Linotype" w:cs="Palatino Linotype"/>
          <w:sz w:val="22"/>
          <w:szCs w:val="22"/>
        </w:rPr>
      </w:pPr>
      <w:r w:rsidRPr="002B77DA">
        <w:rPr>
          <w:rFonts w:ascii="Palatino Linotype" w:eastAsia="Palatino Linotype" w:hAnsi="Palatino Linotype" w:cs="Palatino Linotype"/>
          <w:sz w:val="22"/>
          <w:szCs w:val="22"/>
        </w:rPr>
        <w:t>Climate change litigation in domestic and international courts</w:t>
      </w:r>
    </w:p>
    <w:p w14:paraId="5D96E877" w14:textId="093078B8" w:rsidR="000A549B" w:rsidRPr="002B77DA" w:rsidRDefault="000A549B" w:rsidP="000A549B">
      <w:pPr>
        <w:pStyle w:val="Listenabsatz"/>
        <w:numPr>
          <w:ilvl w:val="0"/>
          <w:numId w:val="2"/>
        </w:numPr>
        <w:snapToGrid w:val="0"/>
        <w:spacing w:before="120" w:line="280" w:lineRule="exact"/>
        <w:jc w:val="both"/>
        <w:rPr>
          <w:rFonts w:ascii="Palatino Linotype" w:eastAsia="Palatino Linotype" w:hAnsi="Palatino Linotype" w:cs="Palatino Linotype"/>
          <w:sz w:val="22"/>
          <w:szCs w:val="22"/>
        </w:rPr>
      </w:pPr>
      <w:r w:rsidRPr="002B77DA">
        <w:rPr>
          <w:rFonts w:ascii="Palatino Linotype" w:eastAsia="Palatino Linotype" w:hAnsi="Palatino Linotype" w:cs="Palatino Linotype"/>
          <w:sz w:val="22"/>
          <w:szCs w:val="22"/>
        </w:rPr>
        <w:t xml:space="preserve">Liability for climate change in private </w:t>
      </w:r>
      <w:r w:rsidR="002B0C19">
        <w:rPr>
          <w:rFonts w:ascii="Palatino Linotype" w:eastAsia="Palatino Linotype" w:hAnsi="Palatino Linotype" w:cs="Palatino Linotype"/>
          <w:sz w:val="22"/>
          <w:szCs w:val="22"/>
        </w:rPr>
        <w:t xml:space="preserve">(international) </w:t>
      </w:r>
      <w:r w:rsidRPr="002B77DA">
        <w:rPr>
          <w:rFonts w:ascii="Palatino Linotype" w:eastAsia="Palatino Linotype" w:hAnsi="Palatino Linotype" w:cs="Palatino Linotype"/>
          <w:sz w:val="22"/>
          <w:szCs w:val="22"/>
        </w:rPr>
        <w:t>law</w:t>
      </w:r>
    </w:p>
    <w:p w14:paraId="0BB9EC91" w14:textId="5C6ECCF1" w:rsidR="00AB20C2" w:rsidRPr="002B77DA" w:rsidRDefault="002B77DA" w:rsidP="00000B31">
      <w:pPr>
        <w:pStyle w:val="Listenabsatz"/>
        <w:numPr>
          <w:ilvl w:val="0"/>
          <w:numId w:val="2"/>
        </w:numPr>
        <w:snapToGrid w:val="0"/>
        <w:spacing w:before="120" w:line="280" w:lineRule="exact"/>
        <w:jc w:val="both"/>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w:t>
      </w:r>
    </w:p>
    <w:p w14:paraId="76B523C8" w14:textId="102F8591" w:rsidR="00AB20C2" w:rsidRDefault="00040A62" w:rsidP="00000B31">
      <w:pPr>
        <w:snapToGrid w:val="0"/>
        <w:spacing w:before="120" w:line="280" w:lineRule="exact"/>
        <w:jc w:val="both"/>
        <w:rPr>
          <w:rFonts w:ascii="Palatino Linotype" w:eastAsia="Palatino Linotype" w:hAnsi="Palatino Linotype" w:cs="Palatino Linotype"/>
          <w:sz w:val="22"/>
          <w:szCs w:val="22"/>
        </w:rPr>
      </w:pPr>
      <w:r w:rsidRPr="002B77DA">
        <w:rPr>
          <w:rFonts w:ascii="Palatino Linotype" w:eastAsia="Palatino Linotype" w:hAnsi="Palatino Linotype" w:cs="Palatino Linotype"/>
          <w:sz w:val="22"/>
          <w:szCs w:val="22"/>
        </w:rPr>
        <w:t>Abstracts should not exceed 500 words. They should be concise and clearly outline the significance of the proposed contribution</w:t>
      </w:r>
      <w:r>
        <w:rPr>
          <w:rFonts w:ascii="Palatino Linotype" w:eastAsia="Palatino Linotype" w:hAnsi="Palatino Linotype" w:cs="Palatino Linotype"/>
          <w:sz w:val="22"/>
          <w:szCs w:val="22"/>
        </w:rPr>
        <w:t xml:space="preserve">. Abstracts may be submitted </w:t>
      </w:r>
      <w:r>
        <w:rPr>
          <w:rFonts w:ascii="Palatino Linotype" w:eastAsia="Palatino Linotype" w:hAnsi="Palatino Linotype" w:cs="Palatino Linotype"/>
          <w:b/>
          <w:bCs/>
          <w:sz w:val="22"/>
          <w:szCs w:val="22"/>
          <w:u w:val="single"/>
        </w:rPr>
        <w:t xml:space="preserve">until </w:t>
      </w:r>
      <w:r w:rsidR="000A549B">
        <w:rPr>
          <w:rFonts w:ascii="Palatino Linotype" w:eastAsia="Palatino Linotype" w:hAnsi="Palatino Linotype" w:cs="Palatino Linotype"/>
          <w:b/>
          <w:bCs/>
          <w:sz w:val="22"/>
          <w:szCs w:val="22"/>
          <w:u w:val="single"/>
        </w:rPr>
        <w:t>28 February</w:t>
      </w:r>
      <w:r w:rsidR="00C53D83">
        <w:rPr>
          <w:rFonts w:ascii="Palatino Linotype" w:eastAsia="Palatino Linotype" w:hAnsi="Palatino Linotype" w:cs="Palatino Linotype"/>
          <w:b/>
          <w:bCs/>
          <w:sz w:val="22"/>
          <w:szCs w:val="22"/>
          <w:u w:val="single"/>
        </w:rPr>
        <w:t xml:space="preserve"> </w:t>
      </w:r>
      <w:r>
        <w:rPr>
          <w:rFonts w:ascii="Palatino Linotype" w:eastAsia="Palatino Linotype" w:hAnsi="Palatino Linotype" w:cs="Palatino Linotype"/>
          <w:b/>
          <w:bCs/>
          <w:sz w:val="22"/>
          <w:szCs w:val="22"/>
          <w:u w:val="single"/>
        </w:rPr>
        <w:t>202</w:t>
      </w:r>
      <w:r w:rsidR="000A549B">
        <w:rPr>
          <w:rFonts w:ascii="Palatino Linotype" w:eastAsia="Palatino Linotype" w:hAnsi="Palatino Linotype" w:cs="Palatino Linotype"/>
          <w:b/>
          <w:bCs/>
          <w:sz w:val="22"/>
          <w:szCs w:val="22"/>
          <w:u w:val="single"/>
        </w:rPr>
        <w:t>2</w:t>
      </w:r>
      <w:r>
        <w:rPr>
          <w:rFonts w:ascii="Palatino Linotype" w:eastAsia="Palatino Linotype" w:hAnsi="Palatino Linotype" w:cs="Palatino Linotype"/>
          <w:sz w:val="22"/>
          <w:szCs w:val="22"/>
        </w:rPr>
        <w:t xml:space="preserve"> via e-mail</w:t>
      </w:r>
      <w:r w:rsidR="00EE72EE">
        <w:rPr>
          <w:rFonts w:ascii="Palatino Linotype" w:eastAsia="Palatino Linotype" w:hAnsi="Palatino Linotype" w:cs="Palatino Linotype"/>
          <w:sz w:val="22"/>
          <w:szCs w:val="22"/>
        </w:rPr>
        <w:t xml:space="preserve"> to </w:t>
      </w:r>
      <w:hyperlink r:id="rId7" w:history="1">
        <w:r w:rsidR="00000B31" w:rsidRPr="00063759">
          <w:rPr>
            <w:rStyle w:val="Hyperlink"/>
            <w:rFonts w:ascii="Palatino Linotype" w:eastAsia="Palatino Linotype" w:hAnsi="Palatino Linotype" w:cs="Palatino Linotype"/>
            <w:sz w:val="22"/>
            <w:szCs w:val="22"/>
          </w:rPr>
          <w:t>eyiel@leuphana.de</w:t>
        </w:r>
      </w:hyperlink>
      <w:r w:rsidR="00C53D83">
        <w:rPr>
          <w:rStyle w:val="Hyperlink"/>
          <w:rFonts w:ascii="Palatino Linotype" w:eastAsia="Palatino Linotype" w:hAnsi="Palatino Linotype" w:cs="Palatino Linotype"/>
          <w:sz w:val="22"/>
          <w:szCs w:val="22"/>
        </w:rPr>
        <w:t>.</w:t>
      </w:r>
    </w:p>
    <w:p w14:paraId="62E947DD" w14:textId="452C1233" w:rsidR="00AB20C2" w:rsidRDefault="00040A62" w:rsidP="00000B31">
      <w:pPr>
        <w:snapToGrid w:val="0"/>
        <w:spacing w:before="120" w:line="280" w:lineRule="exact"/>
        <w:jc w:val="both"/>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 xml:space="preserve">Successful applicants will be notified by </w:t>
      </w:r>
      <w:r w:rsidR="000A549B">
        <w:rPr>
          <w:rFonts w:ascii="Palatino Linotype" w:eastAsia="Palatino Linotype" w:hAnsi="Palatino Linotype" w:cs="Palatino Linotype"/>
          <w:b/>
          <w:bCs/>
          <w:sz w:val="22"/>
          <w:szCs w:val="22"/>
          <w:u w:val="single"/>
        </w:rPr>
        <w:t>1 April</w:t>
      </w:r>
      <w:r w:rsidRPr="005C42C6">
        <w:rPr>
          <w:rFonts w:ascii="Palatino Linotype" w:eastAsia="Palatino Linotype" w:hAnsi="Palatino Linotype" w:cs="Palatino Linotype"/>
          <w:b/>
          <w:bCs/>
          <w:sz w:val="22"/>
          <w:szCs w:val="22"/>
          <w:u w:val="single"/>
        </w:rPr>
        <w:t xml:space="preserve"> </w:t>
      </w:r>
      <w:r w:rsidR="005C42C6" w:rsidRPr="005C42C6">
        <w:rPr>
          <w:rFonts w:ascii="Palatino Linotype" w:eastAsia="Palatino Linotype" w:hAnsi="Palatino Linotype" w:cs="Palatino Linotype"/>
          <w:b/>
          <w:bCs/>
          <w:sz w:val="22"/>
          <w:szCs w:val="22"/>
          <w:u w:val="single"/>
        </w:rPr>
        <w:t>202</w:t>
      </w:r>
      <w:r w:rsidR="00C53D83">
        <w:rPr>
          <w:rFonts w:ascii="Palatino Linotype" w:eastAsia="Palatino Linotype" w:hAnsi="Palatino Linotype" w:cs="Palatino Linotype"/>
          <w:b/>
          <w:bCs/>
          <w:sz w:val="22"/>
          <w:szCs w:val="22"/>
          <w:u w:val="single"/>
        </w:rPr>
        <w:t>2</w:t>
      </w:r>
      <w:r w:rsidR="005C42C6">
        <w:rPr>
          <w:rFonts w:ascii="Palatino Linotype" w:eastAsia="Palatino Linotype" w:hAnsi="Palatino Linotype" w:cs="Palatino Linotype"/>
          <w:sz w:val="22"/>
          <w:szCs w:val="22"/>
        </w:rPr>
        <w:t xml:space="preserve"> </w:t>
      </w:r>
      <w:r>
        <w:rPr>
          <w:rFonts w:ascii="Palatino Linotype" w:eastAsia="Palatino Linotype" w:hAnsi="Palatino Linotype" w:cs="Palatino Linotype"/>
          <w:sz w:val="22"/>
          <w:szCs w:val="22"/>
        </w:rPr>
        <w:t xml:space="preserve">that their proposal has been accepted. They are expected to send in their final contribution by </w:t>
      </w:r>
      <w:r w:rsidR="000A549B">
        <w:rPr>
          <w:rFonts w:ascii="Palatino Linotype" w:eastAsia="Palatino Linotype" w:hAnsi="Palatino Linotype" w:cs="Palatino Linotype"/>
          <w:b/>
          <w:bCs/>
          <w:sz w:val="22"/>
          <w:szCs w:val="22"/>
          <w:u w:val="single"/>
        </w:rPr>
        <w:t>30</w:t>
      </w:r>
      <w:r>
        <w:rPr>
          <w:rFonts w:ascii="Palatino Linotype" w:eastAsia="Palatino Linotype" w:hAnsi="Palatino Linotype" w:cs="Palatino Linotype"/>
          <w:b/>
          <w:bCs/>
          <w:sz w:val="22"/>
          <w:szCs w:val="22"/>
          <w:u w:val="single"/>
        </w:rPr>
        <w:t xml:space="preserve"> </w:t>
      </w:r>
      <w:r w:rsidR="00EE72EE">
        <w:rPr>
          <w:rFonts w:ascii="Palatino Linotype" w:eastAsia="Palatino Linotype" w:hAnsi="Palatino Linotype" w:cs="Palatino Linotype"/>
          <w:b/>
          <w:bCs/>
          <w:sz w:val="22"/>
          <w:szCs w:val="22"/>
          <w:u w:val="single"/>
        </w:rPr>
        <w:t>J</w:t>
      </w:r>
      <w:r w:rsidR="00C53D83">
        <w:rPr>
          <w:rFonts w:ascii="Palatino Linotype" w:eastAsia="Palatino Linotype" w:hAnsi="Palatino Linotype" w:cs="Palatino Linotype"/>
          <w:b/>
          <w:bCs/>
          <w:sz w:val="22"/>
          <w:szCs w:val="22"/>
          <w:u w:val="single"/>
        </w:rPr>
        <w:t>une</w:t>
      </w:r>
      <w:r>
        <w:rPr>
          <w:rFonts w:ascii="Palatino Linotype" w:eastAsia="Palatino Linotype" w:hAnsi="Palatino Linotype" w:cs="Palatino Linotype"/>
          <w:b/>
          <w:bCs/>
          <w:sz w:val="22"/>
          <w:szCs w:val="22"/>
          <w:u w:val="single"/>
        </w:rPr>
        <w:t xml:space="preserve"> 20</w:t>
      </w:r>
      <w:r w:rsidR="000A549B">
        <w:rPr>
          <w:rFonts w:ascii="Palatino Linotype" w:eastAsia="Palatino Linotype" w:hAnsi="Palatino Linotype" w:cs="Palatino Linotype"/>
          <w:b/>
          <w:bCs/>
          <w:sz w:val="22"/>
          <w:szCs w:val="22"/>
          <w:u w:val="single"/>
        </w:rPr>
        <w:t>2</w:t>
      </w:r>
      <w:r w:rsidR="00EE72EE">
        <w:rPr>
          <w:rFonts w:ascii="Palatino Linotype" w:eastAsia="Palatino Linotype" w:hAnsi="Palatino Linotype" w:cs="Palatino Linotype"/>
          <w:b/>
          <w:bCs/>
          <w:sz w:val="22"/>
          <w:szCs w:val="22"/>
          <w:u w:val="single"/>
        </w:rPr>
        <w:t>1</w:t>
      </w:r>
      <w:r>
        <w:rPr>
          <w:rFonts w:ascii="Palatino Linotype" w:eastAsia="Palatino Linotype" w:hAnsi="Palatino Linotype" w:cs="Palatino Linotype"/>
          <w:sz w:val="22"/>
          <w:szCs w:val="22"/>
        </w:rPr>
        <w:t>.</w:t>
      </w:r>
    </w:p>
    <w:p w14:paraId="2484A394" w14:textId="7D3D2501" w:rsidR="00EE72EE" w:rsidRDefault="00EE72EE" w:rsidP="00000B31">
      <w:pPr>
        <w:snapToGrid w:val="0"/>
        <w:spacing w:before="120" w:line="280" w:lineRule="exact"/>
        <w:jc w:val="both"/>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 xml:space="preserve">Final submissions will undergo peer review prior to publication. Given that submissions </w:t>
      </w:r>
      <w:r w:rsidR="002B0C19">
        <w:rPr>
          <w:rFonts w:ascii="Palatino Linotype" w:eastAsia="Palatino Linotype" w:hAnsi="Palatino Linotype" w:cs="Palatino Linotype"/>
          <w:sz w:val="22"/>
          <w:szCs w:val="22"/>
        </w:rPr>
        <w:t>are to be</w:t>
      </w:r>
      <w:r>
        <w:rPr>
          <w:rFonts w:ascii="Palatino Linotype" w:eastAsia="Palatino Linotype" w:hAnsi="Palatino Linotype" w:cs="Palatino Linotype"/>
          <w:sz w:val="22"/>
          <w:szCs w:val="22"/>
        </w:rPr>
        <w:t xml:space="preserve"> developed on the basis of </w:t>
      </w:r>
      <w:r w:rsidR="002B0C19">
        <w:rPr>
          <w:rFonts w:ascii="Palatino Linotype" w:eastAsia="Palatino Linotype" w:hAnsi="Palatino Linotype" w:cs="Palatino Linotype"/>
          <w:sz w:val="22"/>
          <w:szCs w:val="22"/>
        </w:rPr>
        <w:t>the</w:t>
      </w:r>
      <w:r>
        <w:rPr>
          <w:rFonts w:ascii="Palatino Linotype" w:eastAsia="Palatino Linotype" w:hAnsi="Palatino Linotype" w:cs="Palatino Linotype"/>
          <w:sz w:val="22"/>
          <w:szCs w:val="22"/>
        </w:rPr>
        <w:t xml:space="preserve"> proposal, that review will focus on the development of the paper’s central argument.</w:t>
      </w:r>
    </w:p>
    <w:p w14:paraId="18C3E04C" w14:textId="2DC1A534" w:rsidR="00AB20C2" w:rsidRDefault="00040A62" w:rsidP="00000B31">
      <w:pPr>
        <w:snapToGrid w:val="0"/>
        <w:spacing w:before="120" w:line="280" w:lineRule="exact"/>
        <w:jc w:val="both"/>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Submissions addressing particular regional and institutional developments should be analytical and not descriptive. Due to its character as a yearbook, EYIEL will not publish articles which will lose their relevance quickly. Submissions should not ex</w:t>
      </w:r>
      <w:r w:rsidR="002B0C19">
        <w:rPr>
          <w:rFonts w:ascii="Palatino Linotype" w:eastAsia="Palatino Linotype" w:hAnsi="Palatino Linotype" w:cs="Palatino Linotype"/>
          <w:sz w:val="22"/>
          <w:szCs w:val="22"/>
        </w:rPr>
        <w:t>ce</w:t>
      </w:r>
      <w:r>
        <w:rPr>
          <w:rFonts w:ascii="Palatino Linotype" w:eastAsia="Palatino Linotype" w:hAnsi="Palatino Linotype" w:cs="Palatino Linotype"/>
          <w:sz w:val="22"/>
          <w:szCs w:val="22"/>
        </w:rPr>
        <w:t xml:space="preserve">ed 12,000 words (including footnotes and references), though preference may be given to shorter submissions. They should include an abstract and a biographical note. Submissions need to be in conformity with the EYIEL style guidelines. </w:t>
      </w:r>
    </w:p>
    <w:p w14:paraId="1A4D5BEE" w14:textId="24B89725" w:rsidR="00AB20C2" w:rsidRPr="00000B31" w:rsidRDefault="00040A62" w:rsidP="00000B31">
      <w:pPr>
        <w:snapToGrid w:val="0"/>
        <w:spacing w:before="120" w:line="280" w:lineRule="exact"/>
        <w:jc w:val="both"/>
      </w:pPr>
      <w:r>
        <w:rPr>
          <w:rFonts w:ascii="Palatino Linotype" w:eastAsia="Palatino Linotype" w:hAnsi="Palatino Linotype" w:cs="Palatino Linotype"/>
          <w:sz w:val="22"/>
          <w:szCs w:val="22"/>
        </w:rPr>
        <w:t>The editors of the EYIEL welcome informal enquiries about any other relevant topic in the field of international and European economic law. In case you have an idea or proposal, please submit your enquiry via e-mail</w:t>
      </w:r>
      <w:r w:rsidR="00EE72EE">
        <w:rPr>
          <w:rFonts w:ascii="Palatino Linotype" w:eastAsia="Palatino Linotype" w:hAnsi="Palatino Linotype" w:cs="Palatino Linotype"/>
          <w:sz w:val="22"/>
          <w:szCs w:val="22"/>
        </w:rPr>
        <w:t xml:space="preserve"> to</w:t>
      </w:r>
      <w:r w:rsidR="00000B31">
        <w:rPr>
          <w:rFonts w:ascii="Palatino Linotype" w:eastAsia="Palatino Linotype" w:hAnsi="Palatino Linotype" w:cs="Palatino Linotype"/>
          <w:sz w:val="22"/>
          <w:szCs w:val="22"/>
        </w:rPr>
        <w:t xml:space="preserve"> </w:t>
      </w:r>
      <w:hyperlink r:id="rId8" w:history="1">
        <w:r w:rsidR="00000B31" w:rsidRPr="00063759">
          <w:rPr>
            <w:rStyle w:val="Hyperlink"/>
            <w:rFonts w:ascii="Palatino Linotype" w:eastAsia="Palatino Linotype" w:hAnsi="Palatino Linotype" w:cs="Palatino Linotype"/>
            <w:sz w:val="22"/>
            <w:szCs w:val="22"/>
          </w:rPr>
          <w:t>eyiel@leuphana.de</w:t>
        </w:r>
      </w:hyperlink>
      <w:r w:rsidR="00000B31">
        <w:rPr>
          <w:rFonts w:ascii="Palatino Linotype" w:eastAsia="Palatino Linotype" w:hAnsi="Palatino Linotype" w:cs="Palatino Linotype"/>
          <w:sz w:val="22"/>
          <w:szCs w:val="22"/>
        </w:rPr>
        <w:t xml:space="preserve">. </w:t>
      </w:r>
    </w:p>
    <w:sectPr w:rsidR="00AB20C2" w:rsidRPr="00000B31">
      <w:headerReference w:type="default" r:id="rId9"/>
      <w:footerReference w:type="default" r:id="rId10"/>
      <w:pgSz w:w="11900" w:h="16840"/>
      <w:pgMar w:top="1417" w:right="1417" w:bottom="1134" w:left="1417"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9005E2" w14:textId="77777777" w:rsidR="00760698" w:rsidRDefault="00760698">
      <w:r>
        <w:separator/>
      </w:r>
    </w:p>
  </w:endnote>
  <w:endnote w:type="continuationSeparator" w:id="0">
    <w:p w14:paraId="3B4FF9D3" w14:textId="77777777" w:rsidR="00760698" w:rsidRDefault="007606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303B5D" w14:textId="77777777" w:rsidR="00AB20C2" w:rsidRDefault="00AB20C2">
    <w:pPr>
      <w:pStyle w:val="Kopf-undFuzeilen"/>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49CBAA" w14:textId="77777777" w:rsidR="00760698" w:rsidRDefault="00760698">
      <w:r>
        <w:separator/>
      </w:r>
    </w:p>
  </w:footnote>
  <w:footnote w:type="continuationSeparator" w:id="0">
    <w:p w14:paraId="395F1BAD" w14:textId="77777777" w:rsidR="00760698" w:rsidRDefault="007606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E418EF" w14:textId="77777777" w:rsidR="00AB20C2" w:rsidRDefault="00AB20C2">
    <w:pPr>
      <w:pStyle w:val="Kopf-undFuzeilen"/>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12406"/>
    <w:multiLevelType w:val="hybridMultilevel"/>
    <w:tmpl w:val="F6E66396"/>
    <w:numStyleLink w:val="ImportierterStil1"/>
  </w:abstractNum>
  <w:abstractNum w:abstractNumId="1" w15:restartNumberingAfterBreak="0">
    <w:nsid w:val="41EE182D"/>
    <w:multiLevelType w:val="hybridMultilevel"/>
    <w:tmpl w:val="7A5A4B58"/>
    <w:styleLink w:val="ImportierterStil2"/>
    <w:lvl w:ilvl="0" w:tplc="C5640852">
      <w:start w:val="1"/>
      <w:numFmt w:val="bullet"/>
      <w:lvlText w:val="-"/>
      <w:lvlJc w:val="left"/>
      <w:pPr>
        <w:ind w:left="778"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440A9AA">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6D5242B2">
      <w:start w:val="1"/>
      <w:numFmt w:val="bullet"/>
      <w:lvlText w:val="▪"/>
      <w:lvlJc w:val="left"/>
      <w:pPr>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31562C1C">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9F46BB5E">
      <w:start w:val="1"/>
      <w:numFmt w:val="bullet"/>
      <w:lvlText w:val="o"/>
      <w:lvlJc w:val="left"/>
      <w:pPr>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BF664D32">
      <w:start w:val="1"/>
      <w:numFmt w:val="bullet"/>
      <w:lvlText w:val="▪"/>
      <w:lvlJc w:val="left"/>
      <w:pPr>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03201E10">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B6046738">
      <w:start w:val="1"/>
      <w:numFmt w:val="bullet"/>
      <w:lvlText w:val="o"/>
      <w:lvlJc w:val="left"/>
      <w:pPr>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49304AA0">
      <w:start w:val="1"/>
      <w:numFmt w:val="bullet"/>
      <w:lvlText w:val="▪"/>
      <w:lvlJc w:val="left"/>
      <w:pPr>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6BE56E69"/>
    <w:multiLevelType w:val="hybridMultilevel"/>
    <w:tmpl w:val="F6E66396"/>
    <w:styleLink w:val="ImportierterStil1"/>
    <w:lvl w:ilvl="0" w:tplc="110A28D6">
      <w:start w:val="1"/>
      <w:numFmt w:val="bullet"/>
      <w:lvlText w:val="-"/>
      <w:lvlJc w:val="left"/>
      <w:pPr>
        <w:ind w:left="778"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846294E">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0127BC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AC280DD4">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D656296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CBC986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58F89DA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974CBC5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88DABD7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7E247D64"/>
    <w:multiLevelType w:val="hybridMultilevel"/>
    <w:tmpl w:val="7A5A4B58"/>
    <w:numStyleLink w:val="ImportierterStil2"/>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1"/>
  <w:displayBackgroundShape/>
  <w:proofState w:spelling="clean" w:grammar="clean"/>
  <w:trackRevisions/>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20C2"/>
    <w:rsid w:val="00000B31"/>
    <w:rsid w:val="00040A62"/>
    <w:rsid w:val="000A549B"/>
    <w:rsid w:val="002B0C19"/>
    <w:rsid w:val="002B77DA"/>
    <w:rsid w:val="005C42C6"/>
    <w:rsid w:val="00612C23"/>
    <w:rsid w:val="00671B65"/>
    <w:rsid w:val="006A2ADA"/>
    <w:rsid w:val="00760698"/>
    <w:rsid w:val="0076521C"/>
    <w:rsid w:val="007B7E2F"/>
    <w:rsid w:val="00AB20C2"/>
    <w:rsid w:val="00C53D83"/>
    <w:rsid w:val="00EE72E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6AE1B9"/>
  <w15:docId w15:val="{DC2427DB-C857-EF45-9CA6-B3DCB5F83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de-DE" w:eastAsia="de-DE"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Calibri" w:hAnsi="Calibri" w:cs="Arial Unicode MS"/>
      <w:color w:val="000000"/>
      <w:sz w:val="24"/>
      <w:szCs w:val="24"/>
      <w:u w:color="000000"/>
      <w:lang w:val="en-US"/>
      <w14:textOutline w14:w="0" w14:cap="flat" w14:cmpd="sng" w14:algn="ctr">
        <w14:noFill/>
        <w14:prstDash w14:val="solid"/>
        <w14:bevel/>
      </w14:textOutli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Kopf-undFuzeilen">
    <w:name w:val="Kopf- und Fußzeilen"/>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Listenabsatz">
    <w:name w:val="List Paragraph"/>
    <w:pPr>
      <w:ind w:left="720"/>
    </w:pPr>
    <w:rPr>
      <w:rFonts w:ascii="Calibri" w:hAnsi="Calibri" w:cs="Arial Unicode MS"/>
      <w:color w:val="000000"/>
      <w:sz w:val="24"/>
      <w:szCs w:val="24"/>
      <w:u w:color="000000"/>
      <w:lang w:val="en-US"/>
    </w:rPr>
  </w:style>
  <w:style w:type="numbering" w:customStyle="1" w:styleId="ImportierterStil1">
    <w:name w:val="Importierter Stil: 1"/>
    <w:pPr>
      <w:numPr>
        <w:numId w:val="1"/>
      </w:numPr>
    </w:pPr>
  </w:style>
  <w:style w:type="character" w:customStyle="1" w:styleId="Link">
    <w:name w:val="Link"/>
    <w:rPr>
      <w:outline w:val="0"/>
      <w:color w:val="0563C1"/>
      <w:u w:val="single" w:color="0563C1"/>
    </w:rPr>
  </w:style>
  <w:style w:type="character" w:customStyle="1" w:styleId="Hyperlink0">
    <w:name w:val="Hyperlink.0"/>
    <w:basedOn w:val="Link"/>
    <w:rPr>
      <w:rFonts w:ascii="Palatino Linotype" w:eastAsia="Palatino Linotype" w:hAnsi="Palatino Linotype" w:cs="Palatino Linotype"/>
      <w:outline w:val="0"/>
      <w:color w:val="0563C1"/>
      <w:sz w:val="22"/>
      <w:szCs w:val="22"/>
      <w:u w:val="single" w:color="0563C1"/>
    </w:rPr>
  </w:style>
  <w:style w:type="numbering" w:customStyle="1" w:styleId="ImportierterStil2">
    <w:name w:val="Importierter Stil: 2"/>
    <w:pPr>
      <w:numPr>
        <w:numId w:val="3"/>
      </w:numPr>
    </w:pPr>
  </w:style>
  <w:style w:type="character" w:customStyle="1" w:styleId="Hyperlink1">
    <w:name w:val="Hyperlink.1"/>
    <w:basedOn w:val="Link"/>
    <w:rPr>
      <w:outline w:val="0"/>
      <w:color w:val="0563C1"/>
      <w:u w:val="single" w:color="0563C1"/>
      <w:lang w:val="de-DE"/>
    </w:rPr>
  </w:style>
  <w:style w:type="paragraph" w:styleId="Kommentartext">
    <w:name w:val="annotation text"/>
    <w:basedOn w:val="Standard"/>
    <w:link w:val="KommentartextZchn"/>
    <w:uiPriority w:val="99"/>
    <w:semiHidden/>
    <w:unhideWhenUsed/>
    <w:rPr>
      <w:sz w:val="20"/>
      <w:szCs w:val="20"/>
    </w:rPr>
  </w:style>
  <w:style w:type="character" w:customStyle="1" w:styleId="KommentartextZchn">
    <w:name w:val="Kommentartext Zchn"/>
    <w:basedOn w:val="Absatz-Standardschriftart"/>
    <w:link w:val="Kommentartext"/>
    <w:uiPriority w:val="99"/>
    <w:semiHidden/>
    <w:rPr>
      <w:rFonts w:ascii="Calibri" w:hAnsi="Calibri" w:cs="Arial Unicode MS"/>
      <w:color w:val="000000"/>
      <w:u w:color="000000"/>
      <w:lang w:val="en-US"/>
      <w14:textOutline w14:w="0" w14:cap="flat" w14:cmpd="sng" w14:algn="ctr">
        <w14:noFill/>
        <w14:prstDash w14:val="solid"/>
        <w14:bevel/>
      </w14:textOutline>
    </w:rPr>
  </w:style>
  <w:style w:type="character" w:styleId="Kommentarzeichen">
    <w:name w:val="annotation reference"/>
    <w:basedOn w:val="Absatz-Standardschriftart"/>
    <w:uiPriority w:val="99"/>
    <w:semiHidden/>
    <w:unhideWhenUsed/>
    <w:rPr>
      <w:sz w:val="16"/>
      <w:szCs w:val="16"/>
    </w:rPr>
  </w:style>
  <w:style w:type="paragraph" w:styleId="Sprechblasentext">
    <w:name w:val="Balloon Text"/>
    <w:basedOn w:val="Standard"/>
    <w:link w:val="SprechblasentextZchn"/>
    <w:uiPriority w:val="99"/>
    <w:semiHidden/>
    <w:unhideWhenUsed/>
    <w:rsid w:val="00612C23"/>
    <w:rPr>
      <w:rFonts w:ascii="Times New Roman" w:hAnsi="Times New Roman" w:cs="Times New Roman"/>
      <w:sz w:val="18"/>
      <w:szCs w:val="18"/>
    </w:rPr>
  </w:style>
  <w:style w:type="character" w:customStyle="1" w:styleId="SprechblasentextZchn">
    <w:name w:val="Sprechblasentext Zchn"/>
    <w:basedOn w:val="Absatz-Standardschriftart"/>
    <w:link w:val="Sprechblasentext"/>
    <w:uiPriority w:val="99"/>
    <w:semiHidden/>
    <w:rsid w:val="00612C23"/>
    <w:rPr>
      <w:color w:val="000000"/>
      <w:sz w:val="18"/>
      <w:szCs w:val="18"/>
      <w:u w:color="000000"/>
      <w:lang w:val="en-US"/>
      <w14:textOutline w14:w="0" w14:cap="flat" w14:cmpd="sng" w14:algn="ctr">
        <w14:noFill/>
        <w14:prstDash w14:val="solid"/>
        <w14:bevel/>
      </w14:textOutline>
    </w:rPr>
  </w:style>
  <w:style w:type="paragraph" w:styleId="Kommentarthema">
    <w:name w:val="annotation subject"/>
    <w:basedOn w:val="Kommentartext"/>
    <w:next w:val="Kommentartext"/>
    <w:link w:val="KommentarthemaZchn"/>
    <w:uiPriority w:val="99"/>
    <w:semiHidden/>
    <w:unhideWhenUsed/>
    <w:rsid w:val="005C42C6"/>
    <w:rPr>
      <w:b/>
      <w:bCs/>
    </w:rPr>
  </w:style>
  <w:style w:type="character" w:customStyle="1" w:styleId="KommentarthemaZchn">
    <w:name w:val="Kommentarthema Zchn"/>
    <w:basedOn w:val="KommentartextZchn"/>
    <w:link w:val="Kommentarthema"/>
    <w:uiPriority w:val="99"/>
    <w:semiHidden/>
    <w:rsid w:val="005C42C6"/>
    <w:rPr>
      <w:rFonts w:ascii="Calibri" w:hAnsi="Calibri" w:cs="Arial Unicode MS"/>
      <w:b/>
      <w:bCs/>
      <w:color w:val="000000"/>
      <w:u w:color="000000"/>
      <w:lang w:val="en-US"/>
      <w14:textOutline w14:w="0" w14:cap="flat" w14:cmpd="sng" w14:algn="ctr">
        <w14:noFill/>
        <w14:prstDash w14:val="solid"/>
        <w14:bevel/>
      </w14:textOutline>
    </w:rPr>
  </w:style>
  <w:style w:type="character" w:styleId="NichtaufgelsteErwhnung">
    <w:name w:val="Unresolved Mention"/>
    <w:basedOn w:val="Absatz-Standardschriftart"/>
    <w:uiPriority w:val="99"/>
    <w:semiHidden/>
    <w:unhideWhenUsed/>
    <w:rsid w:val="00EE72EE"/>
    <w:rPr>
      <w:color w:val="605E5C"/>
      <w:shd w:val="clear" w:color="auto" w:fill="E1DFDD"/>
    </w:rPr>
  </w:style>
  <w:style w:type="paragraph" w:styleId="berarbeitung">
    <w:name w:val="Revision"/>
    <w:hidden/>
    <w:uiPriority w:val="99"/>
    <w:semiHidden/>
    <w:rsid w:val="002B0C19"/>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hAnsi="Calibri" w:cs="Arial Unicode MS"/>
      <w:color w:val="000000"/>
      <w:sz w:val="24"/>
      <w:szCs w:val="24"/>
      <w:u w:color="000000"/>
      <w:lang w:val="en-US"/>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eyiel@leuphana.de" TargetMode="External"/><Relationship Id="rId3" Type="http://schemas.openxmlformats.org/officeDocument/2006/relationships/settings" Target="settings.xml"/><Relationship Id="rId7" Type="http://schemas.openxmlformats.org/officeDocument/2006/relationships/hyperlink" Target="mailto:eyiel@leuphana.d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401</Words>
  <Characters>2073</Characters>
  <Application>Microsoft Office Word</Application>
  <DocSecurity>0</DocSecurity>
  <Lines>28</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MK</dc:creator>
  <cp:lastModifiedBy>Giesela Rühl</cp:lastModifiedBy>
  <cp:revision>4</cp:revision>
  <dcterms:created xsi:type="dcterms:W3CDTF">2021-12-21T23:15:00Z</dcterms:created>
  <dcterms:modified xsi:type="dcterms:W3CDTF">2022-01-21T10:54:00Z</dcterms:modified>
</cp:coreProperties>
</file>